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Methodological approach — candidate territories</w:t>
      </w:r>
    </w:p>
    <w:p>
      <w:pPr>
        <w:pStyle w:val="Subtitle"/>
      </w:pPr>
      <w:r>
        <w:t>Mapping, high-sensitivity screening and suitability assessment</w:t>
      </w:r>
    </w:p>
    <w:p>
      <w:r>
        <w:t>13 October 2026</w:t>
      </w:r>
    </w:p>
    <w:p>
      <w:pPr>
        <w:pStyle w:val="Heading1"/>
      </w:pPr>
      <w:r>
        <w:t>Overview</w:t>
      </w:r>
    </w:p>
    <w:p>
      <w:r>
        <w:t>Methodological description and criteria tables are available in English and Ukrainian. The linked documents have been updated to match this publication.</w:t>
      </w:r>
    </w:p>
    <w:p>
      <w:r>
        <w:t>Визначаються території, непридатні для розміщення вітрових електростанцій через правові, екологічні або технічні обмеження.</w:t>
      </w:r>
    </w:p>
    <w:p>
      <w:r>
        <w:drawing>
          <wp:inline xmlns:a="http://schemas.openxmlformats.org/drawingml/2006/main" xmlns:pic="http://schemas.openxmlformats.org/drawingml/2006/picture">
            <wp:extent cx="5688000" cy="2296523"/>
            <wp:docPr id="1" name="Picture 1"/>
            <wp:cNvGraphicFramePr>
              <a:graphicFrameLocks noChangeAspect="1"/>
            </wp:cNvGraphicFramePr>
            <a:graphic>
              <a:graphicData uri="http://schemas.openxmlformats.org/drawingml/2006/picture">
                <pic:pic>
                  <pic:nvPicPr>
                    <pic:cNvPr id="0" name="methodology_for_doc.png"/>
                    <pic:cNvPicPr/>
                  </pic:nvPicPr>
                  <pic:blipFill>
                    <a:blip r:embed="rId10"/>
                    <a:stretch>
                      <a:fillRect/>
                    </a:stretch>
                  </pic:blipFill>
                  <pic:spPr>
                    <a:xfrm>
                      <a:off x="0" y="0"/>
                      <a:ext cx="5688000" cy="2296523"/>
                    </a:xfrm>
                    <a:prstGeom prst="rect"/>
                  </pic:spPr>
                </pic:pic>
              </a:graphicData>
            </a:graphic>
          </wp:inline>
        </w:drawing>
      </w:r>
    </w:p>
    <w:p>
      <w:pPr>
        <w:pStyle w:val="Heading1"/>
      </w:pPr>
      <w:r>
        <w:t>Step 1 — Mapping</w:t>
      </w:r>
    </w:p>
    <w:p>
      <w:r>
        <w:t>During the mapping phase, exclusion criteria were applied to identify and remove areas where wind farm development could potentially result in significant adverse environmental, social, or other impacts, or where development would be incompatible with existing legal, environmental, or technical restrictions. These areas were excluded from further assessment.</w:t>
      </w:r>
    </w:p>
    <w:p>
      <w:r>
        <w:t>The mapping process was based on the methodology and spatial information developed within the REZOMA project. As part of the preparatory work, the available spatial datasets were reviewed to identify opportunities to incorporate more accurate, up-to-date, or higher-resolution data, thereby improving the reliability and spatial precision of the assessment. In parallel, relevant legislation and regulatory requirements were reviewed to determine whether any additional exclusion criteria or changes to existing restrictions needed to be considered. This process ensured that the mapping approach was based on the best available spatial data, reflected the current regulatory framework, and provided a consistent and reliable basis for the subsequent sensitivity and suitability assessment (Step 2).</w:t>
      </w:r>
    </w:p>
    <w:p>
      <w:r>
        <w:t>Stage 1 mapping criteria from the supplied Excel workbook. Buffer distances and listed data sources describe the methodological reference table; actual run settings are controlled by the selected scenario.</w:t>
      </w:r>
    </w:p>
    <w:tbl>
      <w:tblPr>
        <w:tblStyle w:val="LightShading-Accent1"/>
        <w:tblW w:type="auto" w:w="0"/>
        <w:jc w:val="center"/>
        <w:tblLayout w:type="autofit"/>
        <w:tblLook w:firstColumn="1" w:firstRow="1" w:lastColumn="0" w:lastRow="0" w:noHBand="0" w:noVBand="1" w:val="04A0"/>
      </w:tblPr>
      <w:tblGrid>
        <w:gridCol w:w="2006"/>
        <w:gridCol w:w="2006"/>
        <w:gridCol w:w="2006"/>
        <w:gridCol w:w="2006"/>
        <w:gridCol w:w="2006"/>
      </w:tblGrid>
      <w:tr>
        <w:tc>
          <w:tcPr>
            <w:tcW w:type="dxa" w:w="2006"/>
            <w:shd w:fill="1D546B"/>
          </w:tcPr>
          <w:p>
            <w:r>
              <w:rPr>
                <w:b/>
                <w:color w:val="FFFFFF"/>
                <w:sz w:val="16"/>
              </w:rPr>
              <w:t>Data group</w:t>
            </w:r>
          </w:p>
        </w:tc>
        <w:tc>
          <w:tcPr>
            <w:tcW w:type="dxa" w:w="2006"/>
            <w:shd w:fill="1D546B"/>
          </w:tcPr>
          <w:p>
            <w:r>
              <w:rPr>
                <w:b/>
                <w:color w:val="FFFFFF"/>
                <w:sz w:val="16"/>
              </w:rPr>
              <w:t>Criteria</w:t>
            </w:r>
          </w:p>
        </w:tc>
        <w:tc>
          <w:tcPr>
            <w:tcW w:type="dxa" w:w="2006"/>
            <w:shd w:fill="1D546B"/>
          </w:tcPr>
          <w:p>
            <w:r>
              <w:rPr>
                <w:b/>
                <w:color w:val="FFFFFF"/>
                <w:sz w:val="16"/>
              </w:rPr>
              <w:t>Exclusion distance</w:t>
            </w:r>
          </w:p>
        </w:tc>
        <w:tc>
          <w:tcPr>
            <w:tcW w:type="dxa" w:w="2006"/>
            <w:shd w:fill="1D546B"/>
          </w:tcPr>
          <w:p>
            <w:r>
              <w:rPr>
                <w:b/>
                <w:color w:val="FFFFFF"/>
                <w:sz w:val="16"/>
              </w:rPr>
              <w:t>Reference</w:t>
            </w:r>
          </w:p>
        </w:tc>
        <w:tc>
          <w:tcPr>
            <w:tcW w:type="dxa" w:w="2006"/>
            <w:shd w:fill="1D546B"/>
          </w:tcPr>
          <w:p>
            <w:r>
              <w:rPr>
                <w:b/>
                <w:color w:val="FFFFFF"/>
                <w:sz w:val="16"/>
              </w:rPr>
              <w:t>Data source</w:t>
            </w:r>
          </w:p>
        </w:tc>
      </w:tr>
      <w:tr>
        <w:tc>
          <w:tcPr>
            <w:tcW w:type="dxa" w:w="2006"/>
            <w:vAlign w:val="center"/>
            <w:shd w:fill="F5F1F8"/>
            <w:vMerge w:val="restart"/>
            <w:tcBorders>
              <w:top w:val="single" w:sz="16" w:color="9BAEB7"/>
            </w:tcBorders>
          </w:tcPr>
          <w:p>
            <w:r>
              <w:t>Socioeconomic aspects</w:t>
            </w:r>
          </w:p>
        </w:tc>
        <w:tc>
          <w:tcPr>
            <w:tcW w:type="dxa" w:w="2006"/>
            <w:vAlign w:val="center"/>
            <w:shd w:fill="F5F1F8"/>
            <w:tcBorders>
              <w:top w:val="single" w:sz="16" w:color="9BAEB7"/>
            </w:tcBorders>
          </w:tcPr>
          <w:p>
            <w:pPr>
              <w:spacing w:after="0"/>
            </w:pPr>
            <w:r>
              <w:rPr>
                <w:sz w:val="15"/>
              </w:rPr>
              <w:t>Cities and villages</w:t>
            </w:r>
          </w:p>
        </w:tc>
        <w:tc>
          <w:tcPr>
            <w:tcW w:type="dxa" w:w="2006"/>
            <w:vAlign w:val="center"/>
            <w:shd w:fill="F5F1F8"/>
            <w:tcBorders>
              <w:top w:val="single" w:sz="16" w:color="9BAEB7"/>
            </w:tcBorders>
          </w:tcPr>
          <w:p>
            <w:pPr>
              <w:spacing w:after="0"/>
            </w:pPr>
            <w:r>
              <w:rPr>
                <w:sz w:val="15"/>
              </w:rPr>
              <w:t>1500 m</w:t>
            </w:r>
          </w:p>
        </w:tc>
        <w:tc>
          <w:tcPr>
            <w:tcW w:type="dxa" w:w="2006"/>
            <w:vAlign w:val="center"/>
            <w:shd w:fill="F5F1F8"/>
            <w:tcBorders>
              <w:top w:val="single" w:sz="16" w:color="9BAEB7"/>
            </w:tcBorders>
          </w:tcPr>
          <w:p>
            <w:pPr>
              <w:spacing w:after="0"/>
            </w:pPr>
            <w:r>
              <w:rPr>
                <w:sz w:val="15"/>
              </w:rPr>
              <w:t>Rezoma</w:t>
            </w:r>
          </w:p>
        </w:tc>
        <w:tc>
          <w:tcPr>
            <w:tcW w:type="dxa" w:w="2006"/>
            <w:vAlign w:val="center"/>
            <w:shd w:fill="F5F1F8"/>
            <w:tcBorders>
              <w:top w:val="single" w:sz="16" w:color="9BAEB7"/>
            </w:tcBorders>
          </w:tcPr>
          <w:p>
            <w:pPr>
              <w:spacing w:after="0"/>
            </w:pPr>
            <w:hyperlink r:id="rId11">
              <w:r>
                <w:rPr>
                  <w:color w:val="176F93"/>
                  <w:u w:val="single"/>
                </w:rPr>
                <w:t>OSM</w:t>
              </w:r>
            </w:hyperlink>
          </w:p>
        </w:tc>
      </w:tr>
      <w:tr>
        <w:tc>
          <w:tcPr>
            <w:tcW w:type="dxa" w:w="2006"/>
            <w:vAlign w:val="center"/>
            <w:vMerge/>
            <w:shd w:fill="F5F1F8"/>
          </w:tcPr>
          <w:p/>
        </w:tc>
        <w:tc>
          <w:tcPr>
            <w:tcW w:type="dxa" w:w="2006"/>
            <w:vAlign w:val="center"/>
            <w:shd w:fill="F5F1F8"/>
          </w:tcPr>
          <w:p>
            <w:pPr>
              <w:spacing w:after="0"/>
            </w:pPr>
            <w:r>
              <w:rPr>
                <w:sz w:val="15"/>
              </w:rPr>
              <w:t>Residential and public buildings</w:t>
            </w:r>
          </w:p>
        </w:tc>
        <w:tc>
          <w:tcPr>
            <w:tcW w:type="dxa" w:w="2006"/>
            <w:vAlign w:val="center"/>
            <w:shd w:fill="F5F1F8"/>
          </w:tcPr>
          <w:p>
            <w:pPr>
              <w:spacing w:after="0"/>
            </w:pPr>
            <w:r>
              <w:rPr>
                <w:sz w:val="15"/>
              </w:rPr>
              <w:t>700 m</w:t>
            </w:r>
          </w:p>
        </w:tc>
        <w:tc>
          <w:tcPr>
            <w:tcW w:type="dxa" w:w="2006"/>
            <w:vAlign w:val="center"/>
            <w:shd w:fill="F5F1F8"/>
          </w:tcPr>
          <w:p>
            <w:pPr>
              <w:spacing w:after="0"/>
            </w:pPr>
            <w:r>
              <w:rPr>
                <w:sz w:val="15"/>
              </w:rPr>
              <w:t>Ukrainian national standard</w:t>
            </w:r>
          </w:p>
        </w:tc>
        <w:tc>
          <w:tcPr>
            <w:tcW w:type="dxa" w:w="2006"/>
            <w:vAlign w:val="center"/>
            <w:shd w:fill="F5F1F8"/>
          </w:tcPr>
          <w:p>
            <w:pPr>
              <w:spacing w:after="0"/>
            </w:pPr>
            <w:hyperlink r:id="rId11">
              <w:r>
                <w:rPr>
                  <w:color w:val="176F93"/>
                  <w:u w:val="single"/>
                </w:rPr>
                <w:t>OSM</w:t>
              </w:r>
            </w:hyperlink>
          </w:p>
        </w:tc>
      </w:tr>
      <w:tr>
        <w:tc>
          <w:tcPr>
            <w:tcW w:type="dxa" w:w="2006"/>
            <w:vAlign w:val="center"/>
            <w:vMerge/>
            <w:shd w:fill="F5F1F8"/>
          </w:tcPr>
          <w:p/>
        </w:tc>
        <w:tc>
          <w:tcPr>
            <w:tcW w:type="dxa" w:w="2006"/>
            <w:vAlign w:val="center"/>
            <w:shd w:fill="F5F1F8"/>
          </w:tcPr>
          <w:p>
            <w:pPr>
              <w:spacing w:after="0"/>
            </w:pPr>
            <w:r>
              <w:rPr>
                <w:sz w:val="15"/>
              </w:rPr>
              <w:t>Churches</w:t>
            </w:r>
          </w:p>
        </w:tc>
        <w:tc>
          <w:tcPr>
            <w:tcW w:type="dxa" w:w="2006"/>
            <w:vAlign w:val="center"/>
            <w:shd w:fill="F5F1F8"/>
          </w:tcPr>
          <w:p>
            <w:pPr>
              <w:spacing w:after="0"/>
            </w:pPr>
            <w:r>
              <w:rPr>
                <w:sz w:val="15"/>
              </w:rPr>
              <w:t>600 m</w:t>
            </w:r>
          </w:p>
        </w:tc>
        <w:tc>
          <w:tcPr>
            <w:tcW w:type="dxa" w:w="2006"/>
            <w:vAlign w:val="center"/>
            <w:shd w:fill="F5F1F8"/>
          </w:tcPr>
          <w:p>
            <w:pPr>
              <w:spacing w:after="0"/>
            </w:pPr>
            <w:r>
              <w:rPr>
                <w:sz w:val="15"/>
              </w:rPr>
              <w:t>Rezoma</w:t>
            </w:r>
          </w:p>
        </w:tc>
        <w:tc>
          <w:tcPr>
            <w:tcW w:type="dxa" w:w="2006"/>
            <w:vAlign w:val="center"/>
            <w:shd w:fill="F5F1F8"/>
          </w:tcPr>
          <w:p>
            <w:pPr>
              <w:spacing w:after="0"/>
            </w:pPr>
            <w:hyperlink r:id="rId11">
              <w:r>
                <w:rPr>
                  <w:color w:val="176F93"/>
                  <w:u w:val="single"/>
                </w:rPr>
                <w:t>OSM</w:t>
              </w:r>
            </w:hyperlink>
          </w:p>
        </w:tc>
      </w:tr>
      <w:tr>
        <w:tc>
          <w:tcPr>
            <w:tcW w:type="dxa" w:w="2006"/>
            <w:vAlign w:val="center"/>
            <w:vMerge/>
            <w:shd w:fill="F5F1F8"/>
          </w:tcPr>
          <w:p/>
        </w:tc>
        <w:tc>
          <w:tcPr>
            <w:tcW w:type="dxa" w:w="2006"/>
            <w:vAlign w:val="center"/>
            <w:shd w:fill="F5F1F8"/>
          </w:tcPr>
          <w:p>
            <w:pPr>
              <w:spacing w:after="0"/>
            </w:pPr>
            <w:r>
              <w:rPr>
                <w:sz w:val="15"/>
              </w:rPr>
              <w:t>Cultural heritage (National level)</w:t>
            </w:r>
          </w:p>
        </w:tc>
        <w:tc>
          <w:tcPr>
            <w:tcW w:type="dxa" w:w="2006"/>
            <w:vAlign w:val="center"/>
            <w:shd w:fill="F5F1F8"/>
          </w:tcPr>
          <w:p>
            <w:pPr>
              <w:spacing w:after="0"/>
            </w:pPr>
            <w:r>
              <w:rPr>
                <w:sz w:val="15"/>
              </w:rPr>
              <w:t>100 metres within settlements,  · 300 metres outside settlements</w:t>
            </w:r>
          </w:p>
        </w:tc>
        <w:tc>
          <w:tcPr>
            <w:tcW w:type="dxa" w:w="2006"/>
            <w:vAlign w:val="center"/>
            <w:shd w:fill="F5F1F8"/>
          </w:tcPr>
          <w:p>
            <w:pPr>
              <w:spacing w:after="0"/>
            </w:pPr>
            <w:r>
              <w:rPr>
                <w:sz w:val="15"/>
              </w:rPr>
              <w:t>Law "On Protection of Cultural Heritage"</w:t>
            </w:r>
          </w:p>
        </w:tc>
        <w:tc>
          <w:tcPr>
            <w:tcW w:type="dxa" w:w="2006"/>
            <w:vAlign w:val="center"/>
            <w:shd w:fill="F5F1F8"/>
          </w:tcPr>
          <w:p>
            <w:pPr>
              <w:spacing w:after="0"/>
            </w:pPr>
            <w:hyperlink r:id="rId12">
              <w:r>
                <w:rPr>
                  <w:color w:val="176F93"/>
                  <w:u w:val="single"/>
                </w:rPr>
                <w:t>Ministry of Culture</w:t>
              </w:r>
            </w:hyperlink>
          </w:p>
        </w:tc>
      </w:tr>
      <w:tr>
        <w:tc>
          <w:tcPr>
            <w:tcW w:type="dxa" w:w="2006"/>
            <w:vAlign w:val="center"/>
            <w:vMerge/>
            <w:shd w:fill="F5F1F8"/>
          </w:tcPr>
          <w:p/>
        </w:tc>
        <w:tc>
          <w:tcPr>
            <w:tcW w:type="dxa" w:w="2006"/>
            <w:vAlign w:val="center"/>
            <w:shd w:fill="F5F1F8"/>
          </w:tcPr>
          <w:p>
            <w:pPr>
              <w:spacing w:after="0"/>
            </w:pPr>
            <w:r>
              <w:rPr>
                <w:sz w:val="15"/>
              </w:rPr>
              <w:t>UNESCO world heritage</w:t>
            </w:r>
          </w:p>
        </w:tc>
        <w:tc>
          <w:tcPr>
            <w:tcW w:type="dxa" w:w="2006"/>
            <w:vAlign w:val="center"/>
            <w:shd w:fill="F5F1F8"/>
          </w:tcPr>
          <w:p>
            <w:pPr>
              <w:spacing w:after="0"/>
            </w:pPr>
            <w:r>
              <w:rPr>
                <w:sz w:val="15"/>
              </w:rPr>
              <w:t>UNESCO-defined buffer zones</w:t>
            </w:r>
          </w:p>
        </w:tc>
        <w:tc>
          <w:tcPr>
            <w:tcW w:type="dxa" w:w="2006"/>
            <w:vAlign w:val="center"/>
            <w:shd w:fill="F5F1F8"/>
          </w:tcPr>
          <w:p>
            <w:pPr>
              <w:spacing w:after="0"/>
            </w:pPr>
            <w:r>
              <w:rPr>
                <w:sz w:val="15"/>
              </w:rPr>
              <w:t>Law "On Protection of Cultural Heritage"</w:t>
            </w:r>
          </w:p>
        </w:tc>
        <w:tc>
          <w:tcPr>
            <w:tcW w:type="dxa" w:w="2006"/>
            <w:vAlign w:val="center"/>
            <w:shd w:fill="F5F1F8"/>
          </w:tcPr>
          <w:p>
            <w:pPr>
              <w:spacing w:after="0"/>
            </w:pPr>
            <w:hyperlink r:id="rId13">
              <w:r>
                <w:rPr>
                  <w:color w:val="176F93"/>
                  <w:u w:val="single"/>
                </w:rPr>
                <w:t>UNESCO</w:t>
              </w:r>
            </w:hyperlink>
          </w:p>
        </w:tc>
      </w:tr>
      <w:tr>
        <w:tc>
          <w:tcPr>
            <w:tcW w:type="dxa" w:w="2006"/>
            <w:vAlign w:val="center"/>
            <w:shd w:fill="FFF8E9"/>
            <w:vMerge w:val="restart"/>
            <w:tcBorders>
              <w:top w:val="single" w:sz="16" w:color="D7B366"/>
            </w:tcBorders>
          </w:tcPr>
          <w:p>
            <w:r>
              <w:t>Planning constraints and land use</w:t>
            </w:r>
          </w:p>
        </w:tc>
        <w:tc>
          <w:tcPr>
            <w:tcW w:type="dxa" w:w="2006"/>
            <w:vAlign w:val="center"/>
            <w:shd w:fill="FFF8E9"/>
            <w:tcBorders>
              <w:top w:val="single" w:sz="16" w:color="D7B366"/>
            </w:tcBorders>
          </w:tcPr>
          <w:p>
            <w:pPr>
              <w:spacing w:after="0"/>
            </w:pPr>
            <w:r>
              <w:rPr>
                <w:sz w:val="15"/>
              </w:rPr>
              <w:t>Slope*</w:t>
            </w:r>
          </w:p>
        </w:tc>
        <w:tc>
          <w:tcPr>
            <w:tcW w:type="dxa" w:w="2006"/>
            <w:vAlign w:val="center"/>
            <w:shd w:fill="FFF8E9"/>
            <w:tcBorders>
              <w:top w:val="single" w:sz="16" w:color="D7B366"/>
            </w:tcBorders>
          </w:tcPr>
          <w:p>
            <w:pPr>
              <w:spacing w:after="0"/>
            </w:pPr>
            <w:r>
              <w:rPr>
                <w:sz w:val="15"/>
              </w:rPr>
              <w:t>15 degree</w:t>
            </w:r>
          </w:p>
        </w:tc>
        <w:tc>
          <w:tcPr>
            <w:tcW w:type="dxa" w:w="2006"/>
            <w:vAlign w:val="center"/>
            <w:shd w:fill="FFF8E9"/>
            <w:tcBorders>
              <w:top w:val="single" w:sz="16" w:color="D7B366"/>
            </w:tcBorders>
          </w:tcPr>
          <w:p>
            <w:pPr>
              <w:spacing w:after="0"/>
            </w:pPr>
            <w:r>
              <w:rPr>
                <w:sz w:val="15"/>
              </w:rPr>
              <w:t>Rezoma</w:t>
            </w:r>
          </w:p>
        </w:tc>
        <w:tc>
          <w:tcPr>
            <w:tcW w:type="dxa" w:w="2006"/>
            <w:vAlign w:val="center"/>
            <w:shd w:fill="FFF8E9"/>
            <w:tcBorders>
              <w:top w:val="single" w:sz="16" w:color="D7B366"/>
            </w:tcBorders>
          </w:tcPr>
          <w:p>
            <w:pPr>
              <w:spacing w:after="0"/>
            </w:pPr>
            <w:hyperlink r:id="rId14">
              <w:r>
                <w:rPr>
                  <w:color w:val="176F93"/>
                  <w:u w:val="single"/>
                </w:rPr>
                <w:t>COPERNICUS</w:t>
              </w:r>
            </w:hyperlink>
          </w:p>
        </w:tc>
      </w:tr>
      <w:tr>
        <w:tc>
          <w:tcPr>
            <w:tcW w:type="dxa" w:w="2006"/>
            <w:vAlign w:val="center"/>
            <w:vMerge/>
            <w:shd w:fill="FFF8E9"/>
          </w:tcPr>
          <w:p/>
        </w:tc>
        <w:tc>
          <w:tcPr>
            <w:tcW w:type="dxa" w:w="2006"/>
            <w:vAlign w:val="center"/>
            <w:shd w:fill="FFF8E9"/>
          </w:tcPr>
          <w:p>
            <w:pPr>
              <w:spacing w:after="0"/>
            </w:pPr>
            <w:r>
              <w:rPr>
                <w:sz w:val="15"/>
              </w:rPr>
              <w:t>Elevation</w:t>
            </w:r>
          </w:p>
        </w:tc>
        <w:tc>
          <w:tcPr>
            <w:tcW w:type="dxa" w:w="2006"/>
            <w:vAlign w:val="center"/>
            <w:shd w:fill="FFF8E9"/>
          </w:tcPr>
          <w:p>
            <w:pPr>
              <w:spacing w:after="0"/>
            </w:pPr>
            <w:r>
              <w:rPr>
                <w:sz w:val="15"/>
              </w:rPr>
              <w:t>&gt; 1000 m</w:t>
            </w:r>
          </w:p>
        </w:tc>
        <w:tc>
          <w:tcPr>
            <w:tcW w:type="dxa" w:w="2006"/>
            <w:vAlign w:val="center"/>
            <w:shd w:fill="FFF8E9"/>
          </w:tcPr>
          <w:p>
            <w:pPr>
              <w:spacing w:after="0"/>
            </w:pPr>
            <w:r>
              <w:rPr>
                <w:sz w:val="15"/>
              </w:rPr>
              <w:t>RES Law (1.10.2026)</w:t>
            </w:r>
          </w:p>
        </w:tc>
        <w:tc>
          <w:tcPr>
            <w:tcW w:type="dxa" w:w="2006"/>
            <w:vAlign w:val="center"/>
            <w:shd w:fill="FFF8E9"/>
          </w:tcPr>
          <w:p>
            <w:pPr>
              <w:spacing w:after="0"/>
            </w:pPr>
            <w:hyperlink r:id="rId14">
              <w:r>
                <w:rPr>
                  <w:color w:val="176F93"/>
                  <w:u w:val="single"/>
                </w:rPr>
                <w:t>COPERNICUS</w:t>
              </w:r>
            </w:hyperlink>
          </w:p>
        </w:tc>
      </w:tr>
      <w:tr>
        <w:tc>
          <w:tcPr>
            <w:tcW w:type="dxa" w:w="2006"/>
            <w:vAlign w:val="center"/>
            <w:vMerge/>
            <w:shd w:fill="FFF8E9"/>
          </w:tcPr>
          <w:p/>
        </w:tc>
        <w:tc>
          <w:tcPr>
            <w:tcW w:type="dxa" w:w="2006"/>
            <w:vAlign w:val="center"/>
            <w:shd w:fill="FFF8E9"/>
          </w:tcPr>
          <w:p>
            <w:pPr>
              <w:spacing w:after="0"/>
            </w:pPr>
            <w:r>
              <w:rPr>
                <w:sz w:val="15"/>
              </w:rPr>
              <w:t>Rivers and lakes</w:t>
            </w:r>
          </w:p>
        </w:tc>
        <w:tc>
          <w:tcPr>
            <w:tcW w:type="dxa" w:w="2006"/>
            <w:vAlign w:val="center"/>
            <w:shd w:fill="FFF8E9"/>
          </w:tcPr>
          <w:p>
            <w:pPr>
              <w:spacing w:after="0"/>
            </w:pPr>
            <w:r>
              <w:rPr>
                <w:sz w:val="15"/>
              </w:rPr>
              <w:t>400 m</w:t>
            </w:r>
          </w:p>
        </w:tc>
        <w:tc>
          <w:tcPr>
            <w:tcW w:type="dxa" w:w="2006"/>
            <w:vAlign w:val="center"/>
            <w:shd w:fill="FFF8E9"/>
          </w:tcPr>
          <w:p>
            <w:pPr>
              <w:spacing w:after="0"/>
            </w:pPr>
            <w:r>
              <w:rPr>
                <w:sz w:val="15"/>
              </w:rPr>
              <w:t>Rezoma</w:t>
            </w:r>
          </w:p>
        </w:tc>
        <w:tc>
          <w:tcPr>
            <w:tcW w:type="dxa" w:w="2006"/>
            <w:vAlign w:val="center"/>
            <w:shd w:fill="FFF8E9"/>
          </w:tcPr>
          <w:p>
            <w:pPr>
              <w:spacing w:after="0"/>
            </w:pPr>
            <w:hyperlink r:id="rId15">
              <w:r>
                <w:rPr>
                  <w:color w:val="176F93"/>
                  <w:u w:val="single"/>
                </w:rPr>
                <w:t>State water cadastre</w:t>
              </w:r>
            </w:hyperlink>
          </w:p>
        </w:tc>
      </w:tr>
      <w:tr>
        <w:tc>
          <w:tcPr>
            <w:tcW w:type="dxa" w:w="2006"/>
            <w:vAlign w:val="center"/>
            <w:vMerge/>
            <w:shd w:fill="FFF8E9"/>
          </w:tcPr>
          <w:p/>
        </w:tc>
        <w:tc>
          <w:tcPr>
            <w:tcW w:type="dxa" w:w="2006"/>
            <w:vAlign w:val="center"/>
            <w:shd w:fill="FFF8E9"/>
          </w:tcPr>
          <w:p>
            <w:pPr>
              <w:spacing w:after="0"/>
            </w:pPr>
            <w:r>
              <w:rPr>
                <w:sz w:val="15"/>
              </w:rPr>
              <w:t>Sea (Coastal)</w:t>
            </w:r>
          </w:p>
        </w:tc>
        <w:tc>
          <w:tcPr>
            <w:tcW w:type="dxa" w:w="2006"/>
            <w:vAlign w:val="center"/>
            <w:shd w:fill="FFF8E9"/>
          </w:tcPr>
          <w:p>
            <w:pPr>
              <w:spacing w:after="0"/>
            </w:pPr>
            <w:r>
              <w:rPr>
                <w:sz w:val="15"/>
              </w:rPr>
              <w:t>2 km</w:t>
            </w:r>
          </w:p>
        </w:tc>
        <w:tc>
          <w:tcPr>
            <w:tcW w:type="dxa" w:w="2006"/>
            <w:vAlign w:val="center"/>
            <w:shd w:fill="FFF8E9"/>
          </w:tcPr>
          <w:p>
            <w:pPr>
              <w:spacing w:after="0"/>
            </w:pPr>
            <w:r>
              <w:rPr>
                <w:sz w:val="15"/>
              </w:rPr>
              <w:t>Water Code of UA</w:t>
            </w:r>
          </w:p>
        </w:tc>
        <w:tc>
          <w:tcPr>
            <w:tcW w:type="dxa" w:w="2006"/>
            <w:vAlign w:val="center"/>
            <w:shd w:fill="FFF8E9"/>
          </w:tcPr>
          <w:p>
            <w:pPr>
              <w:spacing w:after="0"/>
            </w:pPr>
            <w:hyperlink r:id="rId11">
              <w:r>
                <w:rPr>
                  <w:color w:val="176F93"/>
                  <w:u w:val="single"/>
                </w:rPr>
                <w:t>OSM</w:t>
              </w:r>
            </w:hyperlink>
          </w:p>
        </w:tc>
      </w:tr>
      <w:tr>
        <w:tc>
          <w:tcPr>
            <w:tcW w:type="dxa" w:w="2006"/>
            <w:vAlign w:val="center"/>
            <w:vMerge/>
            <w:shd w:fill="FFF8E9"/>
          </w:tcPr>
          <w:p/>
        </w:tc>
        <w:tc>
          <w:tcPr>
            <w:tcW w:type="dxa" w:w="2006"/>
            <w:vAlign w:val="center"/>
            <w:shd w:fill="FFF8E9"/>
          </w:tcPr>
          <w:p>
            <w:pPr>
              <w:spacing w:after="0"/>
            </w:pPr>
            <w:r>
              <w:rPr>
                <w:sz w:val="15"/>
              </w:rPr>
              <w:t>Forest</w:t>
            </w:r>
          </w:p>
        </w:tc>
        <w:tc>
          <w:tcPr>
            <w:tcW w:type="dxa" w:w="2006"/>
            <w:vAlign w:val="center"/>
            <w:shd w:fill="FFF8E9"/>
          </w:tcPr>
          <w:p>
            <w:pPr>
              <w:spacing w:after="0"/>
            </w:pPr>
            <w:r>
              <w:rPr>
                <w:sz w:val="15"/>
              </w:rPr>
              <w:t>0 m</w:t>
            </w:r>
          </w:p>
        </w:tc>
        <w:tc>
          <w:tcPr>
            <w:tcW w:type="dxa" w:w="2006"/>
            <w:vAlign w:val="center"/>
            <w:shd w:fill="FFF8E9"/>
          </w:tcPr>
          <w:p>
            <w:pPr>
              <w:spacing w:after="0"/>
            </w:pPr>
            <w:r>
              <w:rPr>
                <w:sz w:val="15"/>
              </w:rPr>
              <w:t>Rezoma</w:t>
            </w:r>
          </w:p>
        </w:tc>
        <w:tc>
          <w:tcPr>
            <w:tcW w:type="dxa" w:w="2006"/>
            <w:vAlign w:val="center"/>
            <w:shd w:fill="FFF8E9"/>
          </w:tcPr>
          <w:p>
            <w:pPr>
              <w:spacing w:after="0"/>
            </w:pPr>
            <w:hyperlink r:id="rId11">
              <w:r>
                <w:rPr>
                  <w:color w:val="176F93"/>
                  <w:u w:val="single"/>
                </w:rPr>
                <w:t>OSM</w:t>
              </w:r>
            </w:hyperlink>
          </w:p>
        </w:tc>
      </w:tr>
      <w:tr>
        <w:tc>
          <w:tcPr>
            <w:tcW w:type="dxa" w:w="2006"/>
            <w:vAlign w:val="center"/>
            <w:vMerge/>
            <w:shd w:fill="FFF8E9"/>
          </w:tcPr>
          <w:p/>
        </w:tc>
        <w:tc>
          <w:tcPr>
            <w:tcW w:type="dxa" w:w="2006"/>
            <w:vAlign w:val="center"/>
            <w:shd w:fill="FFF8E9"/>
          </w:tcPr>
          <w:p>
            <w:pPr>
              <w:spacing w:after="0"/>
            </w:pPr>
            <w:r>
              <w:rPr>
                <w:sz w:val="15"/>
              </w:rPr>
              <w:t>Heath</w:t>
            </w:r>
          </w:p>
        </w:tc>
        <w:tc>
          <w:tcPr>
            <w:tcW w:type="dxa" w:w="2006"/>
            <w:vAlign w:val="center"/>
            <w:shd w:fill="FFF8E9"/>
          </w:tcPr>
          <w:p>
            <w:pPr>
              <w:spacing w:after="0"/>
            </w:pPr>
            <w:r>
              <w:rPr>
                <w:sz w:val="15"/>
              </w:rPr>
              <w:t>0 m</w:t>
            </w:r>
          </w:p>
        </w:tc>
        <w:tc>
          <w:tcPr>
            <w:tcW w:type="dxa" w:w="2006"/>
            <w:vAlign w:val="center"/>
            <w:shd w:fill="FFF8E9"/>
          </w:tcPr>
          <w:p>
            <w:pPr>
              <w:spacing w:after="0"/>
            </w:pPr>
            <w:r>
              <w:rPr>
                <w:sz w:val="15"/>
              </w:rPr>
              <w:t>Rezoma</w:t>
            </w:r>
          </w:p>
        </w:tc>
        <w:tc>
          <w:tcPr>
            <w:tcW w:type="dxa" w:w="2006"/>
            <w:vAlign w:val="center"/>
            <w:shd w:fill="FFF8E9"/>
          </w:tcPr>
          <w:p>
            <w:pPr>
              <w:spacing w:after="0"/>
            </w:pPr>
            <w:hyperlink r:id="rId11">
              <w:r>
                <w:rPr>
                  <w:color w:val="176F93"/>
                  <w:u w:val="single"/>
                </w:rPr>
                <w:t>OSM</w:t>
              </w:r>
            </w:hyperlink>
          </w:p>
        </w:tc>
      </w:tr>
      <w:tr>
        <w:tc>
          <w:tcPr>
            <w:tcW w:type="dxa" w:w="2006"/>
            <w:vAlign w:val="center"/>
            <w:vMerge/>
            <w:shd w:fill="FFF8E9"/>
          </w:tcPr>
          <w:p/>
        </w:tc>
        <w:tc>
          <w:tcPr>
            <w:tcW w:type="dxa" w:w="2006"/>
            <w:vAlign w:val="center"/>
            <w:shd w:fill="FFF8E9"/>
          </w:tcPr>
          <w:p>
            <w:pPr>
              <w:spacing w:after="0"/>
            </w:pPr>
            <w:r>
              <w:rPr>
                <w:sz w:val="15"/>
              </w:rPr>
              <w:t>Meadow</w:t>
            </w:r>
          </w:p>
        </w:tc>
        <w:tc>
          <w:tcPr>
            <w:tcW w:type="dxa" w:w="2006"/>
            <w:vAlign w:val="center"/>
            <w:shd w:fill="FFF8E9"/>
          </w:tcPr>
          <w:p>
            <w:pPr>
              <w:spacing w:after="0"/>
            </w:pPr>
            <w:r>
              <w:rPr>
                <w:sz w:val="15"/>
              </w:rPr>
              <w:t>0 m</w:t>
            </w:r>
          </w:p>
        </w:tc>
        <w:tc>
          <w:tcPr>
            <w:tcW w:type="dxa" w:w="2006"/>
            <w:vAlign w:val="center"/>
            <w:shd w:fill="FFF8E9"/>
          </w:tcPr>
          <w:p>
            <w:pPr>
              <w:spacing w:after="0"/>
            </w:pPr>
            <w:r>
              <w:rPr>
                <w:sz w:val="15"/>
              </w:rPr>
              <w:t>Rezoma</w:t>
            </w:r>
          </w:p>
        </w:tc>
        <w:tc>
          <w:tcPr>
            <w:tcW w:type="dxa" w:w="2006"/>
            <w:vAlign w:val="center"/>
            <w:shd w:fill="FFF8E9"/>
          </w:tcPr>
          <w:p>
            <w:pPr>
              <w:spacing w:after="0"/>
            </w:pPr>
            <w:hyperlink r:id="rId11">
              <w:r>
                <w:rPr>
                  <w:color w:val="176F93"/>
                  <w:u w:val="single"/>
                </w:rPr>
                <w:t>OSM</w:t>
              </w:r>
            </w:hyperlink>
          </w:p>
        </w:tc>
      </w:tr>
      <w:tr>
        <w:tc>
          <w:tcPr>
            <w:tcW w:type="dxa" w:w="2006"/>
            <w:vAlign w:val="center"/>
            <w:vMerge/>
            <w:shd w:fill="FFF8E9"/>
          </w:tcPr>
          <w:p/>
        </w:tc>
        <w:tc>
          <w:tcPr>
            <w:tcW w:type="dxa" w:w="2006"/>
            <w:vAlign w:val="center"/>
            <w:shd w:fill="FFF8E9"/>
          </w:tcPr>
          <w:p>
            <w:pPr>
              <w:spacing w:after="0"/>
            </w:pPr>
            <w:r>
              <w:rPr>
                <w:sz w:val="15"/>
              </w:rPr>
              <w:t>Scrub</w:t>
            </w:r>
          </w:p>
        </w:tc>
        <w:tc>
          <w:tcPr>
            <w:tcW w:type="dxa" w:w="2006"/>
            <w:vAlign w:val="center"/>
            <w:shd w:fill="FFF8E9"/>
          </w:tcPr>
          <w:p>
            <w:pPr>
              <w:spacing w:after="0"/>
            </w:pPr>
            <w:r>
              <w:rPr>
                <w:sz w:val="15"/>
              </w:rPr>
              <w:t>0 m</w:t>
            </w:r>
          </w:p>
        </w:tc>
        <w:tc>
          <w:tcPr>
            <w:tcW w:type="dxa" w:w="2006"/>
            <w:vAlign w:val="center"/>
            <w:shd w:fill="FFF8E9"/>
          </w:tcPr>
          <w:p>
            <w:pPr>
              <w:spacing w:after="0"/>
            </w:pPr>
            <w:r>
              <w:rPr>
                <w:sz w:val="15"/>
              </w:rPr>
              <w:t>Rezoma</w:t>
            </w:r>
          </w:p>
        </w:tc>
        <w:tc>
          <w:tcPr>
            <w:tcW w:type="dxa" w:w="2006"/>
            <w:vAlign w:val="center"/>
            <w:shd w:fill="FFF8E9"/>
          </w:tcPr>
          <w:p>
            <w:pPr>
              <w:spacing w:after="0"/>
            </w:pPr>
            <w:hyperlink r:id="rId11">
              <w:r>
                <w:rPr>
                  <w:color w:val="176F93"/>
                  <w:u w:val="single"/>
                </w:rPr>
                <w:t>OSM</w:t>
              </w:r>
            </w:hyperlink>
          </w:p>
        </w:tc>
      </w:tr>
      <w:tr>
        <w:tc>
          <w:tcPr>
            <w:tcW w:type="dxa" w:w="2006"/>
            <w:vAlign w:val="center"/>
            <w:vMerge/>
            <w:shd w:fill="FFF8E9"/>
          </w:tcPr>
          <w:p/>
        </w:tc>
        <w:tc>
          <w:tcPr>
            <w:tcW w:type="dxa" w:w="2006"/>
            <w:vAlign w:val="center"/>
            <w:shd w:fill="FFF8E9"/>
          </w:tcPr>
          <w:p>
            <w:pPr>
              <w:spacing w:after="0"/>
            </w:pPr>
            <w:r>
              <w:rPr>
                <w:sz w:val="15"/>
              </w:rPr>
              <w:t>Natural resource excavation areas</w:t>
            </w:r>
          </w:p>
        </w:tc>
        <w:tc>
          <w:tcPr>
            <w:tcW w:type="dxa" w:w="2006"/>
            <w:vAlign w:val="center"/>
            <w:shd w:fill="FFF8E9"/>
          </w:tcPr>
          <w:p>
            <w:pPr>
              <w:spacing w:after="0"/>
            </w:pPr>
            <w:r>
              <w:rPr>
                <w:sz w:val="15"/>
              </w:rPr>
              <w:t>500 m</w:t>
            </w:r>
          </w:p>
        </w:tc>
        <w:tc>
          <w:tcPr>
            <w:tcW w:type="dxa" w:w="2006"/>
            <w:vAlign w:val="center"/>
            <w:shd w:fill="FFF8E9"/>
          </w:tcPr>
          <w:p>
            <w:pPr>
              <w:spacing w:after="0"/>
            </w:pPr>
            <w:r>
              <w:rPr>
                <w:sz w:val="15"/>
              </w:rPr>
              <w:t>Rezoma</w:t>
            </w:r>
          </w:p>
        </w:tc>
        <w:tc>
          <w:tcPr>
            <w:tcW w:type="dxa" w:w="2006"/>
            <w:vAlign w:val="center"/>
            <w:shd w:fill="FFF8E9"/>
          </w:tcPr>
          <w:p>
            <w:pPr>
              <w:spacing w:after="0"/>
            </w:pPr>
            <w:hyperlink r:id="rId11">
              <w:r>
                <w:rPr>
                  <w:color w:val="176F93"/>
                  <w:u w:val="single"/>
                </w:rPr>
                <w:t>OSM</w:t>
              </w:r>
            </w:hyperlink>
          </w:p>
        </w:tc>
      </w:tr>
      <w:tr>
        <w:tc>
          <w:tcPr>
            <w:tcW w:type="dxa" w:w="2006"/>
            <w:vAlign w:val="center"/>
            <w:vMerge/>
            <w:shd w:fill="FFF8E9"/>
          </w:tcPr>
          <w:p/>
        </w:tc>
        <w:tc>
          <w:tcPr>
            <w:tcW w:type="dxa" w:w="2006"/>
            <w:vAlign w:val="center"/>
            <w:shd w:fill="FFF8E9"/>
          </w:tcPr>
          <w:p>
            <w:pPr>
              <w:spacing w:after="0"/>
            </w:pPr>
            <w:r>
              <w:rPr>
                <w:sz w:val="15"/>
              </w:rPr>
              <w:t>Border strip</w:t>
            </w:r>
          </w:p>
        </w:tc>
        <w:tc>
          <w:tcPr>
            <w:tcW w:type="dxa" w:w="2006"/>
            <w:vAlign w:val="center"/>
            <w:shd w:fill="FFF8E9"/>
          </w:tcPr>
          <w:p>
            <w:pPr>
              <w:spacing w:after="0"/>
            </w:pPr>
            <w:r>
              <w:rPr>
                <w:sz w:val="15"/>
              </w:rPr>
              <w:t>-2 km border with Russia and Belarus · -50 m other countries</w:t>
            </w:r>
          </w:p>
        </w:tc>
        <w:tc>
          <w:tcPr>
            <w:tcW w:type="dxa" w:w="2006"/>
            <w:vAlign w:val="center"/>
            <w:shd w:fill="FFF8E9"/>
          </w:tcPr>
          <w:p>
            <w:pPr>
              <w:spacing w:after="0"/>
            </w:pPr>
            <w:r>
              <w:rPr>
                <w:sz w:val="15"/>
              </w:rPr>
              <w:t>Law "On the State Border of Ukraine"</w:t>
            </w:r>
          </w:p>
        </w:tc>
        <w:tc>
          <w:tcPr>
            <w:tcW w:type="dxa" w:w="2006"/>
            <w:vAlign w:val="center"/>
            <w:shd w:fill="FFF8E9"/>
          </w:tcPr>
          <w:p>
            <w:pPr>
              <w:spacing w:after="0"/>
            </w:pPr>
            <w:hyperlink r:id="rId16">
              <w:r>
                <w:rPr>
                  <w:color w:val="176F93"/>
                  <w:u w:val="single"/>
                </w:rPr>
                <w:t>PAEW</w:t>
              </w:r>
            </w:hyperlink>
          </w:p>
        </w:tc>
      </w:tr>
      <w:tr>
        <w:tc>
          <w:tcPr>
            <w:tcW w:type="dxa" w:w="2006"/>
            <w:vAlign w:val="center"/>
            <w:shd w:fill="EEF3FB"/>
            <w:vMerge w:val="restart"/>
            <w:tcBorders>
              <w:top w:val="single" w:sz="16" w:color="7A9BC6"/>
            </w:tcBorders>
          </w:tcPr>
          <w:p>
            <w:r>
              <w:t>Infrastructure</w:t>
            </w:r>
          </w:p>
        </w:tc>
        <w:tc>
          <w:tcPr>
            <w:tcW w:type="dxa" w:w="2006"/>
            <w:vAlign w:val="center"/>
            <w:shd w:fill="EEF3FB"/>
            <w:tcBorders>
              <w:top w:val="single" w:sz="16" w:color="7A9BC6"/>
            </w:tcBorders>
          </w:tcPr>
          <w:p>
            <w:pPr>
              <w:spacing w:after="0"/>
            </w:pPr>
            <w:r>
              <w:rPr>
                <w:sz w:val="15"/>
              </w:rPr>
              <w:t>Roads</w:t>
            </w:r>
          </w:p>
        </w:tc>
        <w:tc>
          <w:tcPr>
            <w:tcW w:type="dxa" w:w="2006"/>
            <w:vAlign w:val="center"/>
            <w:shd w:fill="EEF3FB"/>
            <w:tcBorders>
              <w:top w:val="single" w:sz="16" w:color="7A9BC6"/>
            </w:tcBorders>
          </w:tcPr>
          <w:p>
            <w:pPr>
              <w:spacing w:after="0"/>
            </w:pPr>
            <w:r>
              <w:rPr>
                <w:sz w:val="15"/>
              </w:rPr>
              <w:t>375 m</w:t>
            </w:r>
          </w:p>
        </w:tc>
        <w:tc>
          <w:tcPr>
            <w:tcW w:type="dxa" w:w="2006"/>
            <w:vAlign w:val="center"/>
            <w:shd w:fill="EEF3FB"/>
            <w:tcBorders>
              <w:top w:val="single" w:sz="16" w:color="7A9BC6"/>
            </w:tcBorders>
          </w:tcPr>
          <w:p>
            <w:pPr>
              <w:spacing w:after="0"/>
            </w:pPr>
            <w:r>
              <w:rPr>
                <w:sz w:val="15"/>
              </w:rPr>
              <w:t>total h*1,5</w:t>
            </w:r>
          </w:p>
        </w:tc>
        <w:tc>
          <w:tcPr>
            <w:tcW w:type="dxa" w:w="2006"/>
            <w:vAlign w:val="center"/>
            <w:shd w:fill="EEF3FB"/>
            <w:tcBorders>
              <w:top w:val="single" w:sz="16" w:color="7A9BC6"/>
            </w:tcBorders>
          </w:tcPr>
          <w:p>
            <w:pPr>
              <w:spacing w:after="0"/>
            </w:pPr>
            <w:hyperlink r:id="rId11">
              <w:r>
                <w:rPr>
                  <w:color w:val="176F93"/>
                  <w:u w:val="single"/>
                </w:rPr>
                <w:t>OSM</w:t>
              </w:r>
            </w:hyperlink>
          </w:p>
        </w:tc>
      </w:tr>
      <w:tr>
        <w:tc>
          <w:tcPr>
            <w:tcW w:type="dxa" w:w="2006"/>
            <w:vAlign w:val="center"/>
            <w:vMerge/>
            <w:shd w:fill="EEF3FB"/>
          </w:tcPr>
          <w:p/>
        </w:tc>
        <w:tc>
          <w:tcPr>
            <w:tcW w:type="dxa" w:w="2006"/>
            <w:vAlign w:val="center"/>
            <w:shd w:fill="EEF3FB"/>
          </w:tcPr>
          <w:p>
            <w:pPr>
              <w:spacing w:after="0"/>
            </w:pPr>
            <w:r>
              <w:rPr>
                <w:sz w:val="15"/>
              </w:rPr>
              <w:t>Railways</w:t>
            </w:r>
          </w:p>
        </w:tc>
        <w:tc>
          <w:tcPr>
            <w:tcW w:type="dxa" w:w="2006"/>
            <w:vAlign w:val="center"/>
            <w:shd w:fill="EEF3FB"/>
          </w:tcPr>
          <w:p>
            <w:pPr>
              <w:spacing w:after="0"/>
            </w:pPr>
            <w:r>
              <w:rPr>
                <w:sz w:val="15"/>
              </w:rPr>
              <w:t>375 m</w:t>
            </w:r>
          </w:p>
        </w:tc>
        <w:tc>
          <w:tcPr>
            <w:tcW w:type="dxa" w:w="2006"/>
            <w:vAlign w:val="center"/>
            <w:shd w:fill="EEF3FB"/>
          </w:tcPr>
          <w:p>
            <w:pPr>
              <w:spacing w:after="0"/>
            </w:pPr>
            <w:r>
              <w:rPr>
                <w:sz w:val="15"/>
              </w:rPr>
              <w:t>total h*1,5</w:t>
            </w:r>
          </w:p>
        </w:tc>
        <w:tc>
          <w:tcPr>
            <w:tcW w:type="dxa" w:w="2006"/>
            <w:vAlign w:val="center"/>
            <w:shd w:fill="EEF3FB"/>
          </w:tcPr>
          <w:p>
            <w:pPr>
              <w:spacing w:after="0"/>
            </w:pPr>
            <w:hyperlink r:id="rId11">
              <w:r>
                <w:rPr>
                  <w:color w:val="176F93"/>
                  <w:u w:val="single"/>
                </w:rPr>
                <w:t>OSM</w:t>
              </w:r>
            </w:hyperlink>
          </w:p>
        </w:tc>
      </w:tr>
      <w:tr>
        <w:tc>
          <w:tcPr>
            <w:tcW w:type="dxa" w:w="2006"/>
            <w:vAlign w:val="center"/>
            <w:vMerge/>
            <w:shd w:fill="EEF3FB"/>
          </w:tcPr>
          <w:p/>
        </w:tc>
        <w:tc>
          <w:tcPr>
            <w:tcW w:type="dxa" w:w="2006"/>
            <w:vAlign w:val="center"/>
            <w:shd w:fill="EEF3FB"/>
          </w:tcPr>
          <w:p>
            <w:pPr>
              <w:spacing w:after="0"/>
            </w:pPr>
            <w:r>
              <w:rPr>
                <w:sz w:val="15"/>
              </w:rPr>
              <w:t>Energy infrastructure - transmission lines and substations</w:t>
            </w:r>
          </w:p>
        </w:tc>
        <w:tc>
          <w:tcPr>
            <w:tcW w:type="dxa" w:w="2006"/>
            <w:vAlign w:val="center"/>
            <w:shd w:fill="EEF3FB"/>
          </w:tcPr>
          <w:p>
            <w:pPr>
              <w:spacing w:after="0"/>
            </w:pPr>
            <w:r>
              <w:rPr>
                <w:sz w:val="15"/>
              </w:rPr>
              <w:t>375 m</w:t>
            </w:r>
          </w:p>
        </w:tc>
        <w:tc>
          <w:tcPr>
            <w:tcW w:type="dxa" w:w="2006"/>
            <w:vAlign w:val="center"/>
            <w:shd w:fill="EEF3FB"/>
          </w:tcPr>
          <w:p>
            <w:pPr>
              <w:spacing w:after="0"/>
            </w:pPr>
            <w:r>
              <w:rPr>
                <w:sz w:val="15"/>
              </w:rPr>
              <w:t>total h*1,5</w:t>
            </w:r>
          </w:p>
        </w:tc>
        <w:tc>
          <w:tcPr>
            <w:tcW w:type="dxa" w:w="2006"/>
            <w:vAlign w:val="center"/>
            <w:shd w:fill="EEF3FB"/>
          </w:tcPr>
          <w:p>
            <w:pPr>
              <w:spacing w:after="0"/>
            </w:pPr>
            <w:hyperlink r:id="rId11">
              <w:r>
                <w:rPr>
                  <w:color w:val="176F93"/>
                  <w:u w:val="single"/>
                </w:rPr>
                <w:t>OSM</w:t>
              </w:r>
            </w:hyperlink>
          </w:p>
        </w:tc>
      </w:tr>
      <w:tr>
        <w:tc>
          <w:tcPr>
            <w:tcW w:type="dxa" w:w="2006"/>
            <w:vAlign w:val="center"/>
            <w:vMerge/>
            <w:shd w:fill="EEF3FB"/>
          </w:tcPr>
          <w:p/>
        </w:tc>
        <w:tc>
          <w:tcPr>
            <w:tcW w:type="dxa" w:w="2006"/>
            <w:vAlign w:val="center"/>
            <w:shd w:fill="EEF3FB"/>
          </w:tcPr>
          <w:p>
            <w:pPr>
              <w:spacing w:after="0"/>
            </w:pPr>
            <w:r>
              <w:rPr>
                <w:sz w:val="15"/>
              </w:rPr>
              <w:t>Substations</w:t>
            </w:r>
          </w:p>
        </w:tc>
        <w:tc>
          <w:tcPr>
            <w:tcW w:type="dxa" w:w="2006"/>
            <w:vAlign w:val="center"/>
            <w:shd w:fill="EEF3FB"/>
          </w:tcPr>
          <w:p>
            <w:pPr>
              <w:spacing w:after="0"/>
            </w:pPr>
            <w:r>
              <w:rPr>
                <w:sz w:val="15"/>
              </w:rPr>
              <w:t>&gt; 20 km</w:t>
            </w:r>
          </w:p>
        </w:tc>
        <w:tc>
          <w:tcPr>
            <w:tcW w:type="dxa" w:w="2006"/>
            <w:vAlign w:val="center"/>
            <w:shd w:fill="EEF3FB"/>
          </w:tcPr>
          <w:p>
            <w:pPr>
              <w:spacing w:after="0"/>
            </w:pPr>
            <w:r>
              <w:rPr>
                <w:sz w:val="15"/>
              </w:rPr>
              <w:t>Rezoma</w:t>
            </w:r>
          </w:p>
        </w:tc>
        <w:tc>
          <w:tcPr>
            <w:tcW w:type="dxa" w:w="2006"/>
            <w:vAlign w:val="center"/>
            <w:shd w:fill="EEF3FB"/>
          </w:tcPr>
          <w:p>
            <w:pPr>
              <w:spacing w:after="0"/>
            </w:pPr>
            <w:hyperlink r:id="rId11">
              <w:r>
                <w:rPr>
                  <w:color w:val="176F93"/>
                  <w:u w:val="single"/>
                </w:rPr>
                <w:t>OSM</w:t>
              </w:r>
            </w:hyperlink>
          </w:p>
        </w:tc>
      </w:tr>
      <w:tr>
        <w:tc>
          <w:tcPr>
            <w:tcW w:type="dxa" w:w="2006"/>
            <w:vAlign w:val="center"/>
            <w:vMerge/>
            <w:shd w:fill="EEF3FB"/>
          </w:tcPr>
          <w:p/>
        </w:tc>
        <w:tc>
          <w:tcPr>
            <w:tcW w:type="dxa" w:w="2006"/>
            <w:vAlign w:val="center"/>
            <w:shd w:fill="EEF3FB"/>
          </w:tcPr>
          <w:p>
            <w:pPr>
              <w:spacing w:after="0"/>
            </w:pPr>
            <w:r>
              <w:rPr>
                <w:sz w:val="15"/>
              </w:rPr>
              <w:t>Gas and oil pipelines</w:t>
            </w:r>
          </w:p>
        </w:tc>
        <w:tc>
          <w:tcPr>
            <w:tcW w:type="dxa" w:w="2006"/>
            <w:vAlign w:val="center"/>
            <w:shd w:fill="EEF3FB"/>
          </w:tcPr>
          <w:p>
            <w:pPr>
              <w:spacing w:after="0"/>
            </w:pPr>
            <w:r>
              <w:rPr>
                <w:sz w:val="15"/>
              </w:rPr>
              <w:t>400 m</w:t>
            </w:r>
          </w:p>
        </w:tc>
        <w:tc>
          <w:tcPr>
            <w:tcW w:type="dxa" w:w="2006"/>
            <w:vAlign w:val="center"/>
            <w:shd w:fill="EEF3FB"/>
          </w:tcPr>
          <w:p>
            <w:pPr>
              <w:spacing w:after="0"/>
            </w:pPr>
            <w:r>
              <w:rPr>
                <w:sz w:val="15"/>
              </w:rPr>
              <w:t xml:space="preserve">Law  ‘On the Legal Status of Land in the Protection Zones of Main Pipeline Facilities’ </w:t>
              <w:br/>
              <w:t>(Article 11)</w:t>
            </w:r>
          </w:p>
        </w:tc>
        <w:tc>
          <w:tcPr>
            <w:tcW w:type="dxa" w:w="2006"/>
            <w:vAlign w:val="center"/>
            <w:shd w:fill="EEF3FB"/>
          </w:tcPr>
          <w:p>
            <w:pPr>
              <w:spacing w:after="0"/>
            </w:pPr>
            <w:hyperlink r:id="rId11">
              <w:r>
                <w:rPr>
                  <w:color w:val="176F93"/>
                  <w:u w:val="single"/>
                </w:rPr>
                <w:t>OSM</w:t>
              </w:r>
            </w:hyperlink>
          </w:p>
        </w:tc>
      </w:tr>
      <w:tr>
        <w:tc>
          <w:tcPr>
            <w:tcW w:type="dxa" w:w="2006"/>
            <w:vAlign w:val="center"/>
            <w:vMerge/>
            <w:shd w:fill="EEF3FB"/>
          </w:tcPr>
          <w:p/>
        </w:tc>
        <w:tc>
          <w:tcPr>
            <w:tcW w:type="dxa" w:w="2006"/>
            <w:vAlign w:val="center"/>
            <w:shd w:fill="EEF3FB"/>
          </w:tcPr>
          <w:p>
            <w:pPr>
              <w:spacing w:after="0"/>
            </w:pPr>
            <w:r>
              <w:rPr>
                <w:sz w:val="15"/>
              </w:rPr>
              <w:t>Ammonia pipelines</w:t>
            </w:r>
          </w:p>
        </w:tc>
        <w:tc>
          <w:tcPr>
            <w:tcW w:type="dxa" w:w="2006"/>
            <w:vAlign w:val="center"/>
            <w:shd w:fill="EEF3FB"/>
          </w:tcPr>
          <w:p>
            <w:pPr>
              <w:spacing w:after="0"/>
            </w:pPr>
            <w:r>
              <w:rPr>
                <w:sz w:val="15"/>
              </w:rPr>
              <w:t>1000 m</w:t>
            </w:r>
          </w:p>
        </w:tc>
        <w:tc>
          <w:tcPr>
            <w:tcW w:type="dxa" w:w="2006"/>
            <w:vAlign w:val="center"/>
            <w:shd w:fill="EEF3FB"/>
          </w:tcPr>
          <w:p>
            <w:pPr>
              <w:spacing w:after="0"/>
            </w:pPr>
            <w:r>
              <w:rPr>
                <w:sz w:val="15"/>
              </w:rPr>
              <w:t xml:space="preserve">Law  ‘On the Legal Status of Land in the Protection Zones of Main Pipeline Facilities’ </w:t>
              <w:br/>
              <w:t>(Article 11)</w:t>
            </w:r>
          </w:p>
        </w:tc>
        <w:tc>
          <w:tcPr>
            <w:tcW w:type="dxa" w:w="2006"/>
            <w:vAlign w:val="center"/>
            <w:shd w:fill="EEF3FB"/>
          </w:tcPr>
          <w:p>
            <w:pPr>
              <w:spacing w:after="0"/>
            </w:pPr>
            <w:hyperlink r:id="rId11">
              <w:r>
                <w:rPr>
                  <w:color w:val="176F93"/>
                  <w:u w:val="single"/>
                </w:rPr>
                <w:t>OSM</w:t>
              </w:r>
            </w:hyperlink>
          </w:p>
        </w:tc>
      </w:tr>
      <w:tr>
        <w:tc>
          <w:tcPr>
            <w:tcW w:type="dxa" w:w="2006"/>
            <w:vAlign w:val="center"/>
            <w:vMerge/>
            <w:shd w:fill="EEF3FB"/>
          </w:tcPr>
          <w:p/>
        </w:tc>
        <w:tc>
          <w:tcPr>
            <w:tcW w:type="dxa" w:w="2006"/>
            <w:vAlign w:val="center"/>
            <w:shd w:fill="EEF3FB"/>
          </w:tcPr>
          <w:p>
            <w:pPr>
              <w:spacing w:after="0"/>
            </w:pPr>
            <w:r>
              <w:rPr>
                <w:sz w:val="15"/>
              </w:rPr>
              <w:t>Airports</w:t>
            </w:r>
          </w:p>
        </w:tc>
        <w:tc>
          <w:tcPr>
            <w:tcW w:type="dxa" w:w="2006"/>
            <w:vAlign w:val="center"/>
            <w:shd w:fill="EEF3FB"/>
          </w:tcPr>
          <w:p>
            <w:pPr>
              <w:spacing w:after="0"/>
            </w:pPr>
            <w:r>
              <w:rPr>
                <w:sz w:val="15"/>
              </w:rPr>
              <w:t>Large - 15 000 m · Small - 10 000 m</w:t>
            </w:r>
          </w:p>
        </w:tc>
        <w:tc>
          <w:tcPr>
            <w:tcW w:type="dxa" w:w="2006"/>
            <w:vAlign w:val="center"/>
            <w:shd w:fill="EEF3FB"/>
          </w:tcPr>
          <w:p>
            <w:pPr>
              <w:spacing w:after="0"/>
            </w:pPr>
            <w:r>
              <w:rPr>
                <w:sz w:val="15"/>
              </w:rPr>
              <w:t>DBN Б.2.2-12:2019 ‘Land-use planning and development’, clause 11.2.9.</w:t>
            </w:r>
          </w:p>
        </w:tc>
        <w:tc>
          <w:tcPr>
            <w:tcW w:type="dxa" w:w="2006"/>
            <w:vAlign w:val="center"/>
            <w:shd w:fill="EEF3FB"/>
          </w:tcPr>
          <w:p>
            <w:pPr>
              <w:spacing w:after="0"/>
            </w:pPr>
            <w:hyperlink r:id="rId17">
              <w:r>
                <w:rPr>
                  <w:color w:val="176F93"/>
                  <w:u w:val="single"/>
                </w:rPr>
                <w:t>OurAirports (data provider website)</w:t>
              </w:r>
            </w:hyperlink>
          </w:p>
        </w:tc>
      </w:tr>
      <w:tr>
        <w:tc>
          <w:tcPr>
            <w:tcW w:type="dxa" w:w="2006"/>
            <w:vAlign w:val="center"/>
            <w:vMerge/>
            <w:shd w:fill="EEF3FB"/>
          </w:tcPr>
          <w:p/>
        </w:tc>
        <w:tc>
          <w:tcPr>
            <w:tcW w:type="dxa" w:w="2006"/>
            <w:vAlign w:val="center"/>
            <w:shd w:fill="EEF3FB"/>
          </w:tcPr>
          <w:p>
            <w:pPr>
              <w:spacing w:after="0"/>
            </w:pPr>
            <w:r>
              <w:rPr>
                <w:sz w:val="15"/>
              </w:rPr>
              <w:t>Television and communication towers</w:t>
            </w:r>
          </w:p>
        </w:tc>
        <w:tc>
          <w:tcPr>
            <w:tcW w:type="dxa" w:w="2006"/>
            <w:vAlign w:val="center"/>
            <w:shd w:fill="EEF3FB"/>
          </w:tcPr>
          <w:p>
            <w:pPr>
              <w:spacing w:after="0"/>
            </w:pPr>
            <w:r>
              <w:rPr>
                <w:sz w:val="15"/>
              </w:rPr>
              <w:t>2000 m</w:t>
            </w:r>
          </w:p>
        </w:tc>
        <w:tc>
          <w:tcPr>
            <w:tcW w:type="dxa" w:w="2006"/>
            <w:vAlign w:val="center"/>
            <w:shd w:fill="EEF3FB"/>
          </w:tcPr>
          <w:p>
            <w:pPr>
              <w:spacing w:after="0"/>
            </w:pPr>
            <w:r>
              <w:rPr>
                <w:sz w:val="15"/>
              </w:rPr>
              <w:t>DBN Б.2.2-12:2019 ‘Land-use planning and development’</w:t>
            </w:r>
          </w:p>
        </w:tc>
        <w:tc>
          <w:tcPr>
            <w:tcW w:type="dxa" w:w="2006"/>
            <w:vAlign w:val="center"/>
            <w:shd w:fill="EEF3FB"/>
          </w:tcPr>
          <w:p>
            <w:pPr>
              <w:spacing w:after="0"/>
            </w:pPr>
            <w:hyperlink r:id="rId11">
              <w:r>
                <w:rPr>
                  <w:color w:val="176F93"/>
                  <w:u w:val="single"/>
                </w:rPr>
                <w:t>OSM</w:t>
              </w:r>
            </w:hyperlink>
          </w:p>
        </w:tc>
      </w:tr>
      <w:tr>
        <w:tc>
          <w:tcPr>
            <w:tcW w:type="dxa" w:w="2006"/>
            <w:vAlign w:val="center"/>
            <w:shd w:fill="EEF8EF"/>
            <w:tcBorders>
              <w:top w:val="single" w:sz="16" w:color="81B58D"/>
            </w:tcBorders>
          </w:tcPr>
          <w:p>
            <w:pPr>
              <w:spacing w:after="0"/>
            </w:pPr>
            <w:r>
              <w:rPr>
                <w:sz w:val="15"/>
              </w:rPr>
              <w:t>Nature values and biodiversity</w:t>
            </w:r>
          </w:p>
        </w:tc>
        <w:tc>
          <w:tcPr>
            <w:tcW w:type="dxa" w:w="2006"/>
            <w:vAlign w:val="center"/>
            <w:shd w:fill="EEF8EF"/>
            <w:tcBorders>
              <w:top w:val="single" w:sz="16" w:color="81B58D"/>
            </w:tcBorders>
          </w:tcPr>
          <w:p>
            <w:pPr>
              <w:spacing w:after="0"/>
            </w:pPr>
            <w:r>
              <w:rPr>
                <w:sz w:val="15"/>
              </w:rPr>
              <w:t>Nationally and internationally protected areas</w:t>
            </w:r>
          </w:p>
        </w:tc>
        <w:tc>
          <w:tcPr>
            <w:tcW w:type="dxa" w:w="2006"/>
            <w:vAlign w:val="center"/>
            <w:shd w:fill="EEF8EF"/>
            <w:tcBorders>
              <w:top w:val="single" w:sz="16" w:color="81B58D"/>
            </w:tcBorders>
          </w:tcPr>
          <w:p>
            <w:pPr>
              <w:spacing w:after="0"/>
            </w:pPr>
            <w:r>
              <w:rPr>
                <w:sz w:val="15"/>
              </w:rPr>
              <w:t>1000 m</w:t>
            </w:r>
          </w:p>
        </w:tc>
        <w:tc>
          <w:tcPr>
            <w:tcW w:type="dxa" w:w="2006"/>
            <w:vAlign w:val="center"/>
            <w:shd w:fill="EEF8EF"/>
            <w:tcBorders>
              <w:top w:val="single" w:sz="16" w:color="81B58D"/>
            </w:tcBorders>
          </w:tcPr>
          <w:p>
            <w:pPr>
              <w:spacing w:after="0"/>
            </w:pPr>
            <w:r>
              <w:rPr>
                <w:sz w:val="15"/>
              </w:rPr>
              <w:t>Rezoma</w:t>
            </w:r>
          </w:p>
        </w:tc>
        <w:tc>
          <w:tcPr>
            <w:tcW w:type="dxa" w:w="2006"/>
            <w:vAlign w:val="center"/>
            <w:shd w:fill="EEF8EF"/>
            <w:tcBorders>
              <w:top w:val="single" w:sz="16" w:color="81B58D"/>
            </w:tcBorders>
          </w:tcPr>
          <w:p>
            <w:pPr>
              <w:spacing w:after="0"/>
            </w:pPr>
            <w:hyperlink r:id="rId18">
              <w:r>
                <w:rPr>
                  <w:color w:val="176F93"/>
                  <w:u w:val="single"/>
                </w:rPr>
                <w:t>WDPA database</w:t>
              </w:r>
            </w:hyperlink>
          </w:p>
        </w:tc>
      </w:tr>
      <w:tr>
        <w:tc>
          <w:tcPr>
            <w:tcW w:type="dxa" w:w="2006"/>
            <w:vAlign w:val="center"/>
            <w:shd w:fill="FFF2EC"/>
            <w:tcBorders>
              <w:top w:val="single" w:sz="16" w:color="D9997D"/>
            </w:tcBorders>
          </w:tcPr>
          <w:p>
            <w:pPr>
              <w:spacing w:after="0"/>
            </w:pPr>
            <w:r>
              <w:rPr>
                <w:sz w:val="15"/>
              </w:rPr>
              <w:t>Wind</w:t>
            </w:r>
          </w:p>
        </w:tc>
        <w:tc>
          <w:tcPr>
            <w:tcW w:type="dxa" w:w="2006"/>
            <w:vAlign w:val="center"/>
            <w:shd w:fill="FFF2EC"/>
            <w:tcBorders>
              <w:top w:val="single" w:sz="16" w:color="D9997D"/>
            </w:tcBorders>
          </w:tcPr>
          <w:p>
            <w:pPr>
              <w:spacing w:after="0"/>
            </w:pPr>
            <w:r>
              <w:rPr>
                <w:sz w:val="15"/>
              </w:rPr>
              <w:t>Wind potential</w:t>
            </w:r>
          </w:p>
        </w:tc>
        <w:tc>
          <w:tcPr>
            <w:tcW w:type="dxa" w:w="2006"/>
            <w:vAlign w:val="center"/>
            <w:shd w:fill="FFF2EC"/>
            <w:tcBorders>
              <w:top w:val="single" w:sz="16" w:color="D9997D"/>
            </w:tcBorders>
          </w:tcPr>
          <w:p>
            <w:pPr>
              <w:spacing w:after="0"/>
            </w:pPr>
            <w:r>
              <w:rPr>
                <w:sz w:val="15"/>
              </w:rPr>
              <w:t>&lt;3200 FLH</w:t>
            </w:r>
          </w:p>
        </w:tc>
        <w:tc>
          <w:tcPr>
            <w:tcW w:type="dxa" w:w="2006"/>
            <w:vAlign w:val="center"/>
            <w:shd w:fill="FFF2EC"/>
            <w:tcBorders>
              <w:top w:val="single" w:sz="16" w:color="D9997D"/>
            </w:tcBorders>
          </w:tcPr>
          <w:p>
            <w:pPr>
              <w:spacing w:after="0"/>
            </w:pPr>
            <w:r>
              <w:rPr>
                <w:sz w:val="15"/>
              </w:rPr>
              <w:t>Rezoma</w:t>
            </w:r>
          </w:p>
        </w:tc>
        <w:tc>
          <w:tcPr>
            <w:tcW w:type="dxa" w:w="2006"/>
            <w:vAlign w:val="center"/>
            <w:shd w:fill="FFF2EC"/>
            <w:tcBorders>
              <w:top w:val="single" w:sz="16" w:color="D9997D"/>
            </w:tcBorders>
          </w:tcPr>
          <w:p>
            <w:pPr>
              <w:spacing w:after="0"/>
            </w:pPr>
            <w:hyperlink r:id="rId19">
              <w:r>
                <w:rPr>
                  <w:color w:val="176F93"/>
                  <w:u w:val="single"/>
                </w:rPr>
                <w:t>Global wind atlas</w:t>
              </w:r>
            </w:hyperlink>
          </w:p>
        </w:tc>
      </w:tr>
    </w:tbl>
    <w:p/>
    <w:p>
      <w:pPr>
        <w:pStyle w:val="Heading1"/>
      </w:pPr>
      <w:r>
        <w:t>Step 2A — Highly sensitive areas</w:t>
      </w:r>
    </w:p>
    <w:p>
      <w:r>
        <w:t>Areas remaining after mapping were assessed using environmental, social, technical and other relevant criteria to identify locations highly sensitive to wind farm development. Such areas were excluded because of potential environmental constraints.</w:t>
      </w:r>
    </w:p>
    <w:p>
      <w:r>
        <w:t>Reference criteria from STAGE 2 of the supplied Excel workbook. Exclusion 2 removes candidate projects; it does not erase already assessed score cells.</w:t>
      </w:r>
    </w:p>
    <w:tbl>
      <w:tblPr>
        <w:tblStyle w:val="LightShading-Accent1"/>
        <w:tblW w:type="auto" w:w="0"/>
        <w:jc w:val="center"/>
        <w:tblLayout w:type="autofit"/>
        <w:tblLook w:firstColumn="1" w:firstRow="1" w:lastColumn="0" w:lastRow="0" w:noHBand="0" w:noVBand="1" w:val="04A0"/>
      </w:tblPr>
      <w:tblGrid>
        <w:gridCol w:w="2006"/>
        <w:gridCol w:w="2006"/>
        <w:gridCol w:w="2006"/>
        <w:gridCol w:w="2006"/>
        <w:gridCol w:w="2006"/>
      </w:tblGrid>
      <w:tr>
        <w:tc>
          <w:tcPr>
            <w:tcW w:type="dxa" w:w="2006"/>
            <w:shd w:fill="1D546B"/>
          </w:tcPr>
          <w:p>
            <w:r>
              <w:rPr>
                <w:b/>
                <w:color w:val="FFFFFF"/>
                <w:sz w:val="16"/>
              </w:rPr>
              <w:t>Data group</w:t>
            </w:r>
          </w:p>
        </w:tc>
        <w:tc>
          <w:tcPr>
            <w:tcW w:type="dxa" w:w="2006"/>
            <w:shd w:fill="1D546B"/>
          </w:tcPr>
          <w:p>
            <w:r>
              <w:rPr>
                <w:b/>
                <w:color w:val="FFFFFF"/>
                <w:sz w:val="16"/>
              </w:rPr>
              <w:t>Criteria</w:t>
            </w:r>
          </w:p>
        </w:tc>
        <w:tc>
          <w:tcPr>
            <w:tcW w:type="dxa" w:w="2006"/>
            <w:shd w:fill="1D546B"/>
          </w:tcPr>
          <w:p>
            <w:r>
              <w:rPr>
                <w:b/>
                <w:color w:val="FFFFFF"/>
                <w:sz w:val="16"/>
              </w:rPr>
              <w:t>Exclusion distance</w:t>
            </w:r>
          </w:p>
        </w:tc>
        <w:tc>
          <w:tcPr>
            <w:tcW w:type="dxa" w:w="2006"/>
            <w:shd w:fill="1D546B"/>
          </w:tcPr>
          <w:p>
            <w:r>
              <w:rPr>
                <w:b/>
                <w:color w:val="FFFFFF"/>
                <w:sz w:val="16"/>
              </w:rPr>
              <w:t>Reference</w:t>
            </w:r>
          </w:p>
        </w:tc>
        <w:tc>
          <w:tcPr>
            <w:tcW w:type="dxa" w:w="2006"/>
            <w:shd w:fill="1D546B"/>
          </w:tcPr>
          <w:p>
            <w:r>
              <w:rPr>
                <w:b/>
                <w:color w:val="FFFFFF"/>
                <w:sz w:val="16"/>
              </w:rPr>
              <w:t>Data source</w:t>
            </w:r>
          </w:p>
        </w:tc>
      </w:tr>
      <w:tr>
        <w:tc>
          <w:tcPr>
            <w:tcW w:type="dxa" w:w="2006"/>
            <w:vAlign w:val="center"/>
            <w:shd w:fill="F5F1F8"/>
            <w:tcBorders>
              <w:top w:val="single" w:sz="16" w:color="9BAEB7"/>
            </w:tcBorders>
          </w:tcPr>
          <w:p>
            <w:pPr>
              <w:spacing w:after="0"/>
            </w:pPr>
            <w:r>
              <w:rPr>
                <w:sz w:val="15"/>
              </w:rPr>
              <w:t>Socioeconomic aspects</w:t>
            </w:r>
          </w:p>
        </w:tc>
        <w:tc>
          <w:tcPr>
            <w:tcW w:type="dxa" w:w="2006"/>
            <w:vAlign w:val="center"/>
            <w:shd w:fill="F5F1F8"/>
            <w:tcBorders>
              <w:top w:val="single" w:sz="16" w:color="9BAEB7"/>
            </w:tcBorders>
          </w:tcPr>
          <w:p>
            <w:pPr>
              <w:spacing w:after="0"/>
            </w:pPr>
            <w:r>
              <w:rPr>
                <w:sz w:val="15"/>
              </w:rPr>
              <w:t>UNESCO world heritage (points, polygons)</w:t>
            </w:r>
          </w:p>
        </w:tc>
        <w:tc>
          <w:tcPr>
            <w:tcW w:type="dxa" w:w="2006"/>
            <w:vAlign w:val="center"/>
            <w:shd w:fill="F5F1F8"/>
            <w:tcBorders>
              <w:top w:val="single" w:sz="16" w:color="9BAEB7"/>
            </w:tcBorders>
          </w:tcPr>
          <w:p>
            <w:pPr>
              <w:spacing w:after="0"/>
            </w:pPr>
            <w:r>
              <w:rPr>
                <w:sz w:val="15"/>
              </w:rPr>
              <w:t>&lt; 25 km</w:t>
            </w:r>
          </w:p>
        </w:tc>
        <w:tc>
          <w:tcPr>
            <w:tcW w:type="dxa" w:w="2006"/>
            <w:vAlign w:val="center"/>
            <w:shd w:fill="F5F1F8"/>
            <w:tcBorders>
              <w:top w:val="single" w:sz="16" w:color="9BAEB7"/>
            </w:tcBorders>
          </w:tcPr>
          <w:p>
            <w:pPr>
              <w:spacing w:after="0"/>
            </w:pPr>
            <w:r>
              <w:rPr>
                <w:sz w:val="15"/>
              </w:rPr>
            </w:r>
          </w:p>
        </w:tc>
        <w:tc>
          <w:tcPr>
            <w:tcW w:type="dxa" w:w="2006"/>
            <w:vAlign w:val="center"/>
            <w:shd w:fill="F5F1F8"/>
            <w:tcBorders>
              <w:top w:val="single" w:sz="16" w:color="9BAEB7"/>
            </w:tcBorders>
          </w:tcPr>
          <w:p>
            <w:pPr>
              <w:spacing w:after="0"/>
            </w:pPr>
            <w:r>
              <w:rPr>
                <w:sz w:val="15"/>
              </w:rPr>
              <w:t>UNESCO</w:t>
            </w:r>
          </w:p>
        </w:tc>
      </w:tr>
      <w:tr>
        <w:tc>
          <w:tcPr>
            <w:tcW w:type="dxa" w:w="2006"/>
            <w:vAlign w:val="center"/>
            <w:shd w:fill="FFF8E9"/>
            <w:vMerge w:val="restart"/>
            <w:tcBorders>
              <w:top w:val="single" w:sz="16" w:color="D7B366"/>
            </w:tcBorders>
          </w:tcPr>
          <w:p>
            <w:r>
              <w:t>Planning constraints and land use</w:t>
            </w:r>
          </w:p>
        </w:tc>
        <w:tc>
          <w:tcPr>
            <w:tcW w:type="dxa" w:w="2006"/>
            <w:vAlign w:val="center"/>
            <w:shd w:fill="FFF8E9"/>
            <w:tcBorders>
              <w:top w:val="single" w:sz="16" w:color="D7B366"/>
            </w:tcBorders>
          </w:tcPr>
          <w:p>
            <w:pPr>
              <w:spacing w:after="0"/>
            </w:pPr>
            <w:r>
              <w:rPr>
                <w:sz w:val="15"/>
              </w:rPr>
              <w:t>Border strip</w:t>
            </w:r>
          </w:p>
        </w:tc>
        <w:tc>
          <w:tcPr>
            <w:tcW w:type="dxa" w:w="2006"/>
            <w:vAlign w:val="center"/>
            <w:shd w:fill="FFF8E9"/>
            <w:tcBorders>
              <w:top w:val="single" w:sz="16" w:color="D7B366"/>
            </w:tcBorders>
          </w:tcPr>
          <w:p>
            <w:pPr>
              <w:spacing w:after="0"/>
            </w:pPr>
            <w:r>
              <w:rPr>
                <w:sz w:val="15"/>
              </w:rPr>
              <w:t>&lt; 5 km</w:t>
            </w:r>
          </w:p>
        </w:tc>
        <w:tc>
          <w:tcPr>
            <w:tcW w:type="dxa" w:w="2006"/>
            <w:vAlign w:val="center"/>
            <w:shd w:fill="FFF8E9"/>
            <w:tcBorders>
              <w:top w:val="single" w:sz="16" w:color="D7B366"/>
            </w:tcBorders>
          </w:tcPr>
          <w:p>
            <w:pPr>
              <w:spacing w:after="0"/>
            </w:pPr>
            <w:r>
              <w:rPr>
                <w:sz w:val="15"/>
              </w:rPr>
            </w:r>
          </w:p>
        </w:tc>
        <w:tc>
          <w:tcPr>
            <w:tcW w:type="dxa" w:w="2006"/>
            <w:vAlign w:val="center"/>
            <w:shd w:fill="FFF8E9"/>
            <w:tcBorders>
              <w:top w:val="single" w:sz="16" w:color="D7B366"/>
            </w:tcBorders>
          </w:tcPr>
          <w:p>
            <w:pPr>
              <w:spacing w:after="0"/>
            </w:pPr>
            <w:r>
              <w:rPr>
                <w:sz w:val="15"/>
              </w:rPr>
              <w:t>PAEW</w:t>
            </w:r>
          </w:p>
        </w:tc>
      </w:tr>
      <w:tr>
        <w:tc>
          <w:tcPr>
            <w:tcW w:type="dxa" w:w="2006"/>
            <w:vAlign w:val="center"/>
            <w:vMerge/>
            <w:shd w:fill="FFF8E9"/>
          </w:tcPr>
          <w:p/>
        </w:tc>
        <w:tc>
          <w:tcPr>
            <w:tcW w:type="dxa" w:w="2006"/>
            <w:vAlign w:val="center"/>
            <w:shd w:fill="FFF8E9"/>
          </w:tcPr>
          <w:p>
            <w:pPr>
              <w:spacing w:after="0"/>
            </w:pPr>
            <w:r>
              <w:rPr>
                <w:sz w:val="15"/>
              </w:rPr>
              <w:t>Areas with a probability of flooding of 1%</w:t>
            </w:r>
          </w:p>
        </w:tc>
        <w:tc>
          <w:tcPr>
            <w:tcW w:type="dxa" w:w="2006"/>
            <w:vAlign w:val="center"/>
            <w:shd w:fill="FFF8E9"/>
          </w:tcPr>
          <w:p>
            <w:pPr>
              <w:spacing w:after="0"/>
            </w:pPr>
            <w:r>
              <w:rPr>
                <w:sz w:val="15"/>
              </w:rPr>
              <w:t>0 m</w:t>
            </w:r>
          </w:p>
        </w:tc>
        <w:tc>
          <w:tcPr>
            <w:tcW w:type="dxa" w:w="2006"/>
            <w:vAlign w:val="center"/>
            <w:shd w:fill="FFF8E9"/>
          </w:tcPr>
          <w:p>
            <w:pPr>
              <w:spacing w:after="0"/>
            </w:pPr>
            <w:r>
              <w:rPr>
                <w:sz w:val="15"/>
              </w:rPr>
            </w:r>
          </w:p>
        </w:tc>
        <w:tc>
          <w:tcPr>
            <w:tcW w:type="dxa" w:w="2006"/>
            <w:vAlign w:val="center"/>
            <w:shd w:fill="FFF8E9"/>
          </w:tcPr>
          <w:p>
            <w:pPr>
              <w:spacing w:after="0"/>
            </w:pPr>
            <w:r>
              <w:rPr>
                <w:sz w:val="15"/>
              </w:rPr>
              <w:t>JRC Data Catalogue</w:t>
            </w:r>
          </w:p>
        </w:tc>
      </w:tr>
      <w:tr>
        <w:tc>
          <w:tcPr>
            <w:tcW w:type="dxa" w:w="2006"/>
            <w:vAlign w:val="center"/>
            <w:vMerge/>
            <w:shd w:fill="FFF8E9"/>
          </w:tcPr>
          <w:p/>
        </w:tc>
        <w:tc>
          <w:tcPr>
            <w:tcW w:type="dxa" w:w="2006"/>
            <w:vAlign w:val="center"/>
            <w:shd w:fill="FFF8E9"/>
          </w:tcPr>
          <w:p>
            <w:pPr>
              <w:spacing w:after="0"/>
            </w:pPr>
            <w:r>
              <w:rPr>
                <w:sz w:val="15"/>
              </w:rPr>
              <w:t>Suitable area for wind farm construction &gt;= 100 MW</w:t>
            </w:r>
          </w:p>
        </w:tc>
        <w:tc>
          <w:tcPr>
            <w:tcW w:type="dxa" w:w="2006"/>
            <w:vAlign w:val="center"/>
            <w:shd w:fill="FFF8E9"/>
          </w:tcPr>
          <w:p>
            <w:pPr>
              <w:spacing w:after="0"/>
            </w:pPr>
            <w:r>
              <w:rPr>
                <w:sz w:val="15"/>
              </w:rPr>
              <w:t>&lt;6,5 km2</w:t>
            </w:r>
          </w:p>
        </w:tc>
        <w:tc>
          <w:tcPr>
            <w:tcW w:type="dxa" w:w="2006"/>
            <w:vAlign w:val="center"/>
            <w:shd w:fill="FFF8E9"/>
          </w:tcPr>
          <w:p>
            <w:pPr>
              <w:spacing w:after="0"/>
            </w:pPr>
            <w:r>
              <w:rPr>
                <w:sz w:val="15"/>
              </w:rPr>
              <w:t>Real-case</w:t>
            </w:r>
          </w:p>
        </w:tc>
        <w:tc>
          <w:tcPr>
            <w:tcW w:type="dxa" w:w="2006"/>
            <w:vAlign w:val="center"/>
            <w:shd w:fill="FFF8E9"/>
          </w:tcPr>
          <w:p>
            <w:pPr>
              <w:spacing w:after="0"/>
            </w:pPr>
            <w:r>
              <w:rPr>
                <w:sz w:val="15"/>
              </w:rPr>
            </w:r>
          </w:p>
        </w:tc>
      </w:tr>
      <w:tr>
        <w:tc>
          <w:tcPr>
            <w:tcW w:type="dxa" w:w="2006"/>
            <w:vAlign w:val="center"/>
            <w:shd w:fill="EEF3FB"/>
            <w:vMerge w:val="restart"/>
            <w:tcBorders>
              <w:top w:val="single" w:sz="16" w:color="7A9BC6"/>
            </w:tcBorders>
          </w:tcPr>
          <w:p>
            <w:r>
              <w:t>Infrastructure</w:t>
            </w:r>
          </w:p>
        </w:tc>
        <w:tc>
          <w:tcPr>
            <w:tcW w:type="dxa" w:w="2006"/>
            <w:vAlign w:val="center"/>
            <w:shd w:fill="EEF3FB"/>
            <w:tcBorders>
              <w:top w:val="single" w:sz="16" w:color="7A9BC6"/>
            </w:tcBorders>
          </w:tcPr>
          <w:p>
            <w:pPr>
              <w:spacing w:after="0"/>
            </w:pPr>
            <w:r>
              <w:rPr>
                <w:sz w:val="15"/>
              </w:rPr>
              <w:t>Meteorological radars (C band)</w:t>
            </w:r>
          </w:p>
        </w:tc>
        <w:tc>
          <w:tcPr>
            <w:tcW w:type="dxa" w:w="2006"/>
            <w:vAlign w:val="center"/>
            <w:shd w:fill="EEF3FB"/>
            <w:tcBorders>
              <w:top w:val="single" w:sz="16" w:color="7A9BC6"/>
            </w:tcBorders>
          </w:tcPr>
          <w:p>
            <w:pPr>
              <w:spacing w:after="0"/>
            </w:pPr>
            <w:r>
              <w:rPr>
                <w:sz w:val="15"/>
              </w:rPr>
              <w:t>&lt; 20 km</w:t>
            </w:r>
          </w:p>
        </w:tc>
        <w:tc>
          <w:tcPr>
            <w:tcW w:type="dxa" w:w="2006"/>
            <w:vAlign w:val="center"/>
            <w:shd w:fill="EEF3FB"/>
            <w:tcBorders>
              <w:top w:val="single" w:sz="16" w:color="7A9BC6"/>
            </w:tcBorders>
          </w:tcPr>
          <w:p>
            <w:pPr>
              <w:spacing w:after="0"/>
            </w:pPr>
            <w:r>
              <w:rPr>
                <w:sz w:val="15"/>
              </w:rPr>
              <w:t>EUMETNET/ WMO recomendation</w:t>
            </w:r>
          </w:p>
        </w:tc>
        <w:tc>
          <w:tcPr>
            <w:tcW w:type="dxa" w:w="2006"/>
            <w:vAlign w:val="center"/>
            <w:shd w:fill="EEF3FB"/>
            <w:tcBorders>
              <w:top w:val="single" w:sz="16" w:color="7A9BC6"/>
            </w:tcBorders>
          </w:tcPr>
          <w:p>
            <w:pPr>
              <w:spacing w:after="0"/>
            </w:pPr>
            <w:r>
              <w:rPr>
                <w:sz w:val="15"/>
              </w:rPr>
            </w:r>
          </w:p>
        </w:tc>
      </w:tr>
      <w:tr>
        <w:tc>
          <w:tcPr>
            <w:tcW w:type="dxa" w:w="2006"/>
            <w:vAlign w:val="center"/>
            <w:vMerge/>
            <w:shd w:fill="EEF3FB"/>
          </w:tcPr>
          <w:p/>
        </w:tc>
        <w:tc>
          <w:tcPr>
            <w:tcW w:type="dxa" w:w="2006"/>
            <w:vAlign w:val="center"/>
            <w:shd w:fill="EEF3FB"/>
          </w:tcPr>
          <w:p>
            <w:pPr>
              <w:spacing w:after="0"/>
            </w:pPr>
            <w:r>
              <w:rPr>
                <w:sz w:val="15"/>
              </w:rPr>
              <w:t>Distance to transmission lines</w:t>
            </w:r>
          </w:p>
        </w:tc>
        <w:tc>
          <w:tcPr>
            <w:tcW w:type="dxa" w:w="2006"/>
            <w:vAlign w:val="center"/>
            <w:shd w:fill="EEF3FB"/>
          </w:tcPr>
          <w:p>
            <w:pPr>
              <w:spacing w:after="0"/>
            </w:pPr>
            <w:r>
              <w:rPr>
                <w:sz w:val="15"/>
              </w:rPr>
              <w:t>&gt; 15 km</w:t>
            </w:r>
          </w:p>
        </w:tc>
        <w:tc>
          <w:tcPr>
            <w:tcW w:type="dxa" w:w="2006"/>
            <w:vAlign w:val="center"/>
            <w:shd w:fill="EEF3FB"/>
          </w:tcPr>
          <w:p>
            <w:pPr>
              <w:spacing w:after="0"/>
            </w:pPr>
            <w:r>
              <w:rPr>
                <w:sz w:val="15"/>
              </w:rPr>
            </w:r>
          </w:p>
        </w:tc>
        <w:tc>
          <w:tcPr>
            <w:tcW w:type="dxa" w:w="2006"/>
            <w:vAlign w:val="center"/>
            <w:shd w:fill="EEF3FB"/>
          </w:tcPr>
          <w:p>
            <w:pPr>
              <w:spacing w:after="0"/>
            </w:pPr>
            <w:r>
              <w:rPr>
                <w:sz w:val="15"/>
              </w:rPr>
              <w:t>OSM</w:t>
            </w:r>
          </w:p>
        </w:tc>
      </w:tr>
      <w:tr>
        <w:tc>
          <w:tcPr>
            <w:tcW w:type="dxa" w:w="2006"/>
            <w:vAlign w:val="center"/>
            <w:shd w:fill="EEF8EF"/>
            <w:vMerge w:val="restart"/>
            <w:tcBorders>
              <w:top w:val="single" w:sz="16" w:color="81B58D"/>
            </w:tcBorders>
          </w:tcPr>
          <w:p>
            <w:r>
              <w:t>Nature values and biodiversity</w:t>
            </w:r>
          </w:p>
        </w:tc>
        <w:tc>
          <w:tcPr>
            <w:tcW w:type="dxa" w:w="2006"/>
            <w:vAlign w:val="center"/>
            <w:shd w:fill="EEF8EF"/>
            <w:tcBorders>
              <w:top w:val="single" w:sz="16" w:color="81B58D"/>
            </w:tcBorders>
          </w:tcPr>
          <w:p>
            <w:pPr>
              <w:spacing w:after="0"/>
            </w:pPr>
            <w:r>
              <w:rPr>
                <w:sz w:val="15"/>
              </w:rPr>
              <w:t>Areas with high level density of observations of endangered species</w:t>
            </w:r>
          </w:p>
        </w:tc>
        <w:tc>
          <w:tcPr>
            <w:tcW w:type="dxa" w:w="2006"/>
            <w:vAlign w:val="center"/>
            <w:shd w:fill="EEF8EF"/>
            <w:tcBorders>
              <w:top w:val="single" w:sz="16" w:color="81B58D"/>
            </w:tcBorders>
          </w:tcPr>
          <w:p>
            <w:pPr>
              <w:spacing w:after="0"/>
            </w:pPr>
            <w:r>
              <w:rPr>
                <w:sz w:val="15"/>
              </w:rPr>
              <w:t>0 m</w:t>
            </w:r>
          </w:p>
        </w:tc>
        <w:tc>
          <w:tcPr>
            <w:tcW w:type="dxa" w:w="2006"/>
            <w:vAlign w:val="center"/>
            <w:shd w:fill="EEF8EF"/>
            <w:tcBorders>
              <w:top w:val="single" w:sz="16" w:color="81B58D"/>
            </w:tcBorders>
          </w:tcPr>
          <w:p>
            <w:pPr>
              <w:spacing w:after="0"/>
            </w:pPr>
            <w:r>
              <w:rPr>
                <w:sz w:val="15"/>
              </w:rPr>
            </w:r>
          </w:p>
        </w:tc>
        <w:tc>
          <w:tcPr>
            <w:tcW w:type="dxa" w:w="2006"/>
            <w:vAlign w:val="center"/>
            <w:shd w:fill="EEF8EF"/>
            <w:tcBorders>
              <w:top w:val="single" w:sz="16" w:color="81B58D"/>
            </w:tcBorders>
          </w:tcPr>
          <w:p>
            <w:pPr>
              <w:spacing w:after="0"/>
            </w:pPr>
            <w:r>
              <w:rPr>
                <w:sz w:val="15"/>
              </w:rPr>
              <w:t>GBIF</w:t>
            </w:r>
          </w:p>
        </w:tc>
      </w:tr>
      <w:tr>
        <w:tc>
          <w:tcPr>
            <w:tcW w:type="dxa" w:w="2006"/>
            <w:vAlign w:val="center"/>
            <w:vMerge/>
            <w:shd w:fill="EEF8EF"/>
          </w:tcPr>
          <w:p/>
        </w:tc>
        <w:tc>
          <w:tcPr>
            <w:tcW w:type="dxa" w:w="2006"/>
            <w:vAlign w:val="center"/>
            <w:shd w:fill="EEF8EF"/>
          </w:tcPr>
          <w:p>
            <w:pPr>
              <w:spacing w:after="0"/>
            </w:pPr>
            <w:r>
              <w:rPr>
                <w:sz w:val="15"/>
              </w:rPr>
              <w:t>Plant species or plant communities listed in the Red Book or Green Book</w:t>
            </w:r>
          </w:p>
        </w:tc>
        <w:tc>
          <w:tcPr>
            <w:tcW w:type="dxa" w:w="2006"/>
            <w:vAlign w:val="center"/>
            <w:shd w:fill="EEF8EF"/>
          </w:tcPr>
          <w:p>
            <w:pPr>
              <w:spacing w:after="0"/>
            </w:pPr>
            <w:r>
              <w:rPr>
                <w:sz w:val="15"/>
              </w:rPr>
              <w:t>50 m</w:t>
            </w:r>
          </w:p>
        </w:tc>
        <w:tc>
          <w:tcPr>
            <w:tcW w:type="dxa" w:w="2006"/>
            <w:vAlign w:val="center"/>
            <w:shd w:fill="EEF8EF"/>
          </w:tcPr>
          <w:p>
            <w:pPr>
              <w:spacing w:after="0"/>
            </w:pPr>
            <w:r>
              <w:rPr>
                <w:sz w:val="15"/>
              </w:rPr>
            </w:r>
          </w:p>
        </w:tc>
        <w:tc>
          <w:tcPr>
            <w:tcW w:type="dxa" w:w="2006"/>
            <w:vAlign w:val="center"/>
            <w:shd w:fill="EEF8EF"/>
          </w:tcPr>
          <w:p>
            <w:pPr>
              <w:spacing w:after="0"/>
            </w:pPr>
            <w:r>
              <w:rPr>
                <w:sz w:val="15"/>
              </w:rPr>
              <w:t>GBIF</w:t>
            </w:r>
          </w:p>
        </w:tc>
      </w:tr>
      <w:tr>
        <w:tc>
          <w:tcPr>
            <w:tcW w:type="dxa" w:w="2006"/>
            <w:vAlign w:val="center"/>
            <w:vMerge/>
            <w:shd w:fill="EEF8EF"/>
          </w:tcPr>
          <w:p/>
        </w:tc>
        <w:tc>
          <w:tcPr>
            <w:tcW w:type="dxa" w:w="2006"/>
            <w:vAlign w:val="center"/>
            <w:shd w:fill="EEF8EF"/>
          </w:tcPr>
          <w:p>
            <w:pPr>
              <w:spacing w:after="0"/>
            </w:pPr>
            <w:r>
              <w:rPr>
                <w:sz w:val="15"/>
              </w:rPr>
              <w:t>Forest</w:t>
            </w:r>
          </w:p>
        </w:tc>
        <w:tc>
          <w:tcPr>
            <w:tcW w:type="dxa" w:w="2006"/>
            <w:vAlign w:val="center"/>
            <w:shd w:fill="EEF8EF"/>
          </w:tcPr>
          <w:p>
            <w:pPr>
              <w:spacing w:after="0"/>
            </w:pPr>
            <w:r>
              <w:rPr>
                <w:sz w:val="15"/>
              </w:rPr>
              <w:t>200 m</w:t>
            </w:r>
          </w:p>
        </w:tc>
        <w:tc>
          <w:tcPr>
            <w:tcW w:type="dxa" w:w="2006"/>
            <w:vAlign w:val="center"/>
            <w:shd w:fill="EEF8EF"/>
          </w:tcPr>
          <w:p>
            <w:pPr>
              <w:spacing w:after="0"/>
            </w:pPr>
            <w:r>
              <w:rPr>
                <w:sz w:val="15"/>
              </w:rPr>
              <w:t>EUROBAT guidelines</w:t>
            </w:r>
          </w:p>
        </w:tc>
        <w:tc>
          <w:tcPr>
            <w:tcW w:type="dxa" w:w="2006"/>
            <w:vAlign w:val="center"/>
            <w:shd w:fill="EEF8EF"/>
          </w:tcPr>
          <w:p>
            <w:pPr>
              <w:spacing w:after="0"/>
            </w:pPr>
            <w:r>
              <w:rPr>
                <w:sz w:val="15"/>
              </w:rPr>
              <w:t>OSM</w:t>
            </w:r>
          </w:p>
        </w:tc>
      </w:tr>
      <w:tr>
        <w:tc>
          <w:tcPr>
            <w:tcW w:type="dxa" w:w="2006"/>
            <w:vAlign w:val="center"/>
            <w:vMerge/>
            <w:shd w:fill="EEF8EF"/>
          </w:tcPr>
          <w:p/>
        </w:tc>
        <w:tc>
          <w:tcPr>
            <w:tcW w:type="dxa" w:w="2006"/>
            <w:vAlign w:val="center"/>
            <w:shd w:fill="EEF8EF"/>
          </w:tcPr>
          <w:p>
            <w:pPr>
              <w:spacing w:after="0"/>
            </w:pPr>
            <w:r>
              <w:rPr>
                <w:sz w:val="15"/>
              </w:rPr>
              <w:t>Key Biodiversity Areas (KBA)</w:t>
            </w:r>
          </w:p>
        </w:tc>
        <w:tc>
          <w:tcPr>
            <w:tcW w:type="dxa" w:w="2006"/>
            <w:vAlign w:val="center"/>
            <w:shd w:fill="EEF8EF"/>
          </w:tcPr>
          <w:p>
            <w:pPr>
              <w:spacing w:after="0"/>
            </w:pPr>
            <w:r>
              <w:rPr>
                <w:sz w:val="15"/>
              </w:rPr>
              <w:t>1000 m</w:t>
            </w:r>
          </w:p>
        </w:tc>
        <w:tc>
          <w:tcPr>
            <w:tcW w:type="dxa" w:w="2006"/>
            <w:vAlign w:val="center"/>
            <w:shd w:fill="EEF8EF"/>
          </w:tcPr>
          <w:p>
            <w:pPr>
              <w:spacing w:after="0"/>
            </w:pPr>
            <w:r>
              <w:rPr>
                <w:sz w:val="15"/>
              </w:rPr>
              <w:t>Rezoma</w:t>
            </w:r>
          </w:p>
        </w:tc>
        <w:tc>
          <w:tcPr>
            <w:tcW w:type="dxa" w:w="2006"/>
            <w:vAlign w:val="center"/>
            <w:shd w:fill="EEF8EF"/>
          </w:tcPr>
          <w:p>
            <w:pPr>
              <w:spacing w:after="0"/>
            </w:pPr>
            <w:r>
              <w:rPr>
                <w:sz w:val="15"/>
              </w:rPr>
              <w:t>Key biodiversity areas</w:t>
            </w:r>
          </w:p>
        </w:tc>
      </w:tr>
      <w:tr>
        <w:tc>
          <w:tcPr>
            <w:tcW w:type="dxa" w:w="2006"/>
            <w:vAlign w:val="center"/>
            <w:vMerge/>
            <w:shd w:fill="EEF8EF"/>
          </w:tcPr>
          <w:p/>
        </w:tc>
        <w:tc>
          <w:tcPr>
            <w:tcW w:type="dxa" w:w="2006"/>
            <w:vAlign w:val="center"/>
            <w:shd w:fill="EEF8EF"/>
          </w:tcPr>
          <w:p>
            <w:pPr>
              <w:spacing w:after="0"/>
            </w:pPr>
            <w:r>
              <w:rPr>
                <w:sz w:val="15"/>
              </w:rPr>
              <w:t>Important underground sites for bats</w:t>
            </w:r>
          </w:p>
        </w:tc>
        <w:tc>
          <w:tcPr>
            <w:tcW w:type="dxa" w:w="2006"/>
            <w:vAlign w:val="center"/>
            <w:shd w:fill="EEF8EF"/>
          </w:tcPr>
          <w:p>
            <w:pPr>
              <w:spacing w:after="0"/>
            </w:pPr>
            <w:r>
              <w:rPr>
                <w:sz w:val="15"/>
              </w:rPr>
              <w:t>1000 m</w:t>
            </w:r>
          </w:p>
        </w:tc>
        <w:tc>
          <w:tcPr>
            <w:tcW w:type="dxa" w:w="2006"/>
            <w:vAlign w:val="center"/>
            <w:shd w:fill="EEF8EF"/>
          </w:tcPr>
          <w:p>
            <w:pPr>
              <w:spacing w:after="0"/>
            </w:pPr>
            <w:r>
              <w:rPr>
                <w:sz w:val="15"/>
              </w:rPr>
              <w:t>Rezoma</w:t>
            </w:r>
          </w:p>
        </w:tc>
        <w:tc>
          <w:tcPr>
            <w:tcW w:type="dxa" w:w="2006"/>
            <w:vAlign w:val="center"/>
            <w:shd w:fill="EEF8EF"/>
          </w:tcPr>
          <w:p>
            <w:pPr>
              <w:spacing w:after="0"/>
            </w:pPr>
            <w:r>
              <w:rPr>
                <w:sz w:val="15"/>
              </w:rPr>
              <w:t>EUROBAT</w:t>
            </w:r>
          </w:p>
        </w:tc>
      </w:tr>
      <w:tr>
        <w:tc>
          <w:tcPr>
            <w:tcW w:type="dxa" w:w="2006"/>
            <w:vAlign w:val="center"/>
            <w:shd w:fill="FFF2EC"/>
            <w:tcBorders>
              <w:top w:val="single" w:sz="16" w:color="D9997D"/>
            </w:tcBorders>
          </w:tcPr>
          <w:p>
            <w:pPr>
              <w:spacing w:after="0"/>
            </w:pPr>
            <w:r>
              <w:rPr>
                <w:sz w:val="15"/>
              </w:rPr>
              <w:t>Wind</w:t>
            </w:r>
          </w:p>
        </w:tc>
        <w:tc>
          <w:tcPr>
            <w:tcW w:type="dxa" w:w="2006"/>
            <w:vAlign w:val="center"/>
            <w:shd w:fill="FFF2EC"/>
            <w:tcBorders>
              <w:top w:val="single" w:sz="16" w:color="D9997D"/>
            </w:tcBorders>
          </w:tcPr>
          <w:p>
            <w:pPr>
              <w:spacing w:after="0"/>
            </w:pPr>
            <w:r>
              <w:rPr>
                <w:sz w:val="15"/>
              </w:rPr>
              <w:t>Existing wind parks</w:t>
            </w:r>
          </w:p>
        </w:tc>
        <w:tc>
          <w:tcPr>
            <w:tcW w:type="dxa" w:w="2006"/>
            <w:vAlign w:val="center"/>
            <w:shd w:fill="FFF2EC"/>
            <w:tcBorders>
              <w:top w:val="single" w:sz="16" w:color="D9997D"/>
            </w:tcBorders>
          </w:tcPr>
          <w:p>
            <w:pPr>
              <w:spacing w:after="0"/>
            </w:pPr>
            <w:r>
              <w:rPr>
                <w:sz w:val="15"/>
              </w:rPr>
              <w:t>1000 m</w:t>
            </w:r>
          </w:p>
        </w:tc>
        <w:tc>
          <w:tcPr>
            <w:tcW w:type="dxa" w:w="2006"/>
            <w:vAlign w:val="center"/>
            <w:shd w:fill="FFF2EC"/>
            <w:tcBorders>
              <w:top w:val="single" w:sz="16" w:color="D9997D"/>
            </w:tcBorders>
          </w:tcPr>
          <w:p>
            <w:pPr>
              <w:spacing w:after="0"/>
            </w:pPr>
            <w:r>
              <w:rPr>
                <w:sz w:val="15"/>
              </w:rPr>
            </w:r>
          </w:p>
        </w:tc>
        <w:tc>
          <w:tcPr>
            <w:tcW w:type="dxa" w:w="2006"/>
            <w:vAlign w:val="center"/>
            <w:shd w:fill="FFF2EC"/>
            <w:tcBorders>
              <w:top w:val="single" w:sz="16" w:color="D9997D"/>
            </w:tcBorders>
          </w:tcPr>
          <w:p>
            <w:pPr>
              <w:spacing w:after="0"/>
            </w:pPr>
            <w:r>
              <w:rPr>
                <w:sz w:val="15"/>
              </w:rPr>
              <w:t>OSM</w:t>
            </w:r>
          </w:p>
        </w:tc>
      </w:tr>
      <w:tr>
        <w:tc>
          <w:tcPr>
            <w:tcW w:type="dxa" w:w="2006"/>
            <w:vAlign w:val="center"/>
            <w:shd w:fill="F5F1F8"/>
            <w:tcBorders>
              <w:top w:val="single" w:sz="16" w:color="9BAEB7"/>
            </w:tcBorders>
          </w:tcPr>
          <w:p>
            <w:pPr>
              <w:spacing w:after="0"/>
            </w:pPr>
            <w:r>
              <w:rPr>
                <w:sz w:val="15"/>
              </w:rPr>
              <w:t>Occupied territories</w:t>
            </w:r>
          </w:p>
        </w:tc>
        <w:tc>
          <w:tcPr>
            <w:tcW w:type="dxa" w:w="2006"/>
            <w:vAlign w:val="center"/>
            <w:shd w:fill="F5F1F8"/>
            <w:tcBorders>
              <w:top w:val="single" w:sz="16" w:color="9BAEB7"/>
            </w:tcBorders>
          </w:tcPr>
          <w:p>
            <w:pPr>
              <w:spacing w:after="0"/>
            </w:pPr>
            <w:r>
              <w:rPr>
                <w:sz w:val="15"/>
              </w:rPr>
              <w:t>Occupied territories</w:t>
            </w:r>
          </w:p>
        </w:tc>
        <w:tc>
          <w:tcPr>
            <w:tcW w:type="dxa" w:w="2006"/>
            <w:vAlign w:val="center"/>
            <w:shd w:fill="F5F1F8"/>
            <w:tcBorders>
              <w:top w:val="single" w:sz="16" w:color="9BAEB7"/>
            </w:tcBorders>
          </w:tcPr>
          <w:p>
            <w:pPr>
              <w:spacing w:after="0"/>
            </w:pPr>
            <w:r>
              <w:rPr>
                <w:sz w:val="15"/>
              </w:rPr>
              <w:t>0 km</w:t>
            </w:r>
          </w:p>
        </w:tc>
        <w:tc>
          <w:tcPr>
            <w:tcW w:type="dxa" w:w="2006"/>
            <w:vAlign w:val="center"/>
            <w:shd w:fill="F5F1F8"/>
            <w:tcBorders>
              <w:top w:val="single" w:sz="16" w:color="9BAEB7"/>
            </w:tcBorders>
          </w:tcPr>
          <w:p>
            <w:pPr>
              <w:spacing w:after="0"/>
            </w:pPr>
            <w:r>
              <w:rPr>
                <w:sz w:val="15"/>
              </w:rPr>
            </w:r>
          </w:p>
        </w:tc>
        <w:tc>
          <w:tcPr>
            <w:tcW w:type="dxa" w:w="2006"/>
            <w:vAlign w:val="center"/>
            <w:shd w:fill="F5F1F8"/>
            <w:tcBorders>
              <w:top w:val="single" w:sz="16" w:color="9BAEB7"/>
            </w:tcBorders>
          </w:tcPr>
          <w:p>
            <w:pPr>
              <w:spacing w:after="0"/>
            </w:pPr>
            <w:r>
              <w:rPr>
                <w:sz w:val="15"/>
              </w:rPr>
            </w:r>
          </w:p>
        </w:tc>
      </w:tr>
    </w:tbl>
    <w:p/>
    <w:p>
      <w:pPr>
        <w:pStyle w:val="Heading1"/>
      </w:pPr>
      <w:r>
        <w:t>Step 2B — Suitability assessment</w:t>
      </w:r>
    </w:p>
    <w:p>
      <w:r>
        <w:t>Following the identification of highly sensitive areas, the remaining locations were evaluated on a predefined scale using suitability criteria to compare and prioritize possible wind farm locations. The weighted evaluation groups and their distance or resource bands are provided in the table below.</w:t>
      </w:r>
    </w:p>
    <w:p>
      <w:r>
        <w:t>Revised Stage 3 scoring, as supplied on 12 October 2026. Values describe the evaluation criteria; actual calculations follow the selected tool scenario. Blank soil bands remain blank in the supplied revision.</w:t>
      </w:r>
    </w:p>
    <w:p>
      <w:r>
        <w:t>Buildings and residential zones are evaluated separately from heritage, but not added to populated places as a second population score: the tool uses the lower of the buildings/residential score and the cities/villages score for the population component (75% of the socioeconomic group). Cultural heritage contributes the other 25%. The building source covers OSM building footprints and prepared residential zones; hospitals and other public buildings are included only where present in those inputs, not as a separate hospital scoring rule.</w:t>
      </w:r>
    </w:p>
    <w:p>
      <w:r>
        <w:t>Buildings and residential zones are evaluated separately from heritage, but not added to populated places as a second population score: the tool uses the lower of the buildings/residential score and the cities/villages score for the population component (75% of the socioeconomic group). Cultural heritage contributes the other 25%. The building source covers OSM building footprints and prepared residential zones; hospitals and other public buildings are included only where present in those inputs, not as a separate hospital scoring rule.</w:t>
      </w:r>
    </w:p>
    <w:tbl>
      <w:tblPr>
        <w:tblStyle w:val="LightShading-Accent1"/>
        <w:tblW w:type="auto" w:w="0"/>
        <w:jc w:val="center"/>
        <w:tblLayout w:type="autofit"/>
        <w:tblLook w:firstColumn="1" w:firstRow="1" w:lastColumn="0" w:lastRow="0" w:noHBand="0" w:noVBand="1" w:val="04A0"/>
      </w:tblPr>
      <w:tblGrid>
        <w:gridCol w:w="2006"/>
        <w:gridCol w:w="2006"/>
        <w:gridCol w:w="2006"/>
        <w:gridCol w:w="2006"/>
        <w:gridCol w:w="2006"/>
      </w:tblGrid>
      <w:tr>
        <w:tc>
          <w:tcPr>
            <w:tcW w:type="dxa" w:w="2006"/>
            <w:shd w:fill="1D546B"/>
          </w:tcPr>
          <w:p>
            <w:r>
              <w:rPr>
                <w:b/>
                <w:color w:val="FFFFFF"/>
                <w:sz w:val="16"/>
              </w:rPr>
              <w:t>Data group</w:t>
            </w:r>
          </w:p>
        </w:tc>
        <w:tc>
          <w:tcPr>
            <w:tcW w:type="dxa" w:w="2006"/>
            <w:shd w:fill="1D546B"/>
          </w:tcPr>
          <w:p>
            <w:r>
              <w:rPr>
                <w:b/>
                <w:color w:val="FFFFFF"/>
                <w:sz w:val="16"/>
              </w:rPr>
              <w:t>Layers</w:t>
            </w:r>
          </w:p>
        </w:tc>
        <w:tc>
          <w:tcPr>
            <w:tcW w:type="dxa" w:w="2006"/>
            <w:shd w:fill="1D546B"/>
          </w:tcPr>
          <w:p>
            <w:r>
              <w:rPr>
                <w:b/>
                <w:color w:val="FFFFFF"/>
                <w:sz w:val="16"/>
              </w:rPr>
              <w:t>Exclusion criteria</w:t>
            </w:r>
          </w:p>
        </w:tc>
        <w:tc>
          <w:tcPr>
            <w:tcW w:type="dxa" w:w="2006"/>
            <w:shd w:fill="1D546B"/>
          </w:tcPr>
          <w:p>
            <w:r>
              <w:rPr>
                <w:b/>
                <w:color w:val="FFFFFF"/>
                <w:sz w:val="16"/>
              </w:rPr>
              <w:t>Evaluation parameters</w:t>
            </w:r>
          </w:p>
        </w:tc>
        <w:tc>
          <w:tcPr>
            <w:tcW w:type="dxa" w:w="2006"/>
            <w:shd w:fill="1D546B"/>
          </w:tcPr>
          <w:p>
            <w:r>
              <w:rPr>
                <w:b/>
                <w:color w:val="FFFFFF"/>
                <w:sz w:val="16"/>
              </w:rPr>
              <w:t>Weight</w:t>
            </w:r>
          </w:p>
        </w:tc>
      </w:tr>
      <w:tr>
        <w:tc>
          <w:tcPr>
            <w:tcW w:type="dxa" w:w="2006"/>
            <w:vAlign w:val="center"/>
            <w:shd w:fill="EAF5F8"/>
            <w:vMerge w:val="restart"/>
            <w:tcBorders>
              <w:top w:val="single" w:sz="16" w:color="67A5B8"/>
            </w:tcBorders>
          </w:tcPr>
          <w:p>
            <w:r>
              <w:t>Socioeconomic</w:t>
            </w:r>
          </w:p>
        </w:tc>
        <w:tc>
          <w:tcPr>
            <w:tcW w:type="dxa" w:w="2006"/>
            <w:vAlign w:val="center"/>
            <w:shd w:fill="EAF5F8"/>
            <w:tcBorders>
              <w:top w:val="single" w:sz="16" w:color="67A5B8"/>
            </w:tcBorders>
          </w:tcPr>
          <w:p>
            <w:pPr>
              <w:spacing w:after="0"/>
            </w:pPr>
            <w:r>
              <w:rPr>
                <w:sz w:val="15"/>
              </w:rPr>
              <w:t>Cities, villages</w:t>
            </w:r>
          </w:p>
        </w:tc>
        <w:tc>
          <w:tcPr>
            <w:tcW w:type="dxa" w:w="2006"/>
            <w:vAlign w:val="center"/>
            <w:shd w:fill="EAF5F8"/>
            <w:tcBorders>
              <w:top w:val="single" w:sz="16" w:color="67A5B8"/>
            </w:tcBorders>
          </w:tcPr>
          <w:p>
            <w:pPr>
              <w:spacing w:after="0"/>
            </w:pPr>
            <w:r>
              <w:rPr>
                <w:sz w:val="15"/>
              </w:rPr>
              <w:t>1500 m</w:t>
            </w:r>
          </w:p>
        </w:tc>
        <w:tc>
          <w:tcPr>
            <w:tcW w:type="dxa" w:w="2006"/>
            <w:vAlign w:val="center"/>
            <w:shd w:fill="EAF5F8"/>
            <w:tcBorders>
              <w:top w:val="single" w:sz="16" w:color="67A5B8"/>
            </w:tcBorders>
          </w:tcPr>
          <w:p>
            <w:pPr>
              <w:spacing w:after="0"/>
            </w:pPr>
            <w:r>
              <w:rPr>
                <w:sz w:val="15"/>
              </w:rPr>
              <w:t>0–1500 m [0]; 1500–3000 m [50]</w:t>
            </w:r>
          </w:p>
        </w:tc>
        <w:tc>
          <w:tcPr>
            <w:tcW w:type="dxa" w:w="2006"/>
            <w:vAlign w:val="center"/>
            <w:shd w:fill="EAF5F8"/>
            <w:vMerge w:val="restart"/>
            <w:tcBorders>
              <w:top w:val="single" w:sz="16" w:color="67A5B8"/>
            </w:tcBorders>
          </w:tcPr>
          <w:p>
            <w:pPr>
              <w:jc w:val="center"/>
            </w:pPr>
            <w:r>
              <w:rPr>
                <w:b/>
                <w:color w:val="174E68"/>
                <w:sz w:val="22"/>
              </w:rPr>
              <w:t>20%</w:t>
            </w:r>
          </w:p>
        </w:tc>
      </w:tr>
      <w:tr>
        <w:tc>
          <w:tcPr>
            <w:tcW w:type="dxa" w:w="2006"/>
            <w:vAlign w:val="center"/>
            <w:vMerge/>
            <w:shd w:fill="EAF5F8"/>
          </w:tcPr>
          <w:p/>
        </w:tc>
        <w:tc>
          <w:tcPr>
            <w:tcW w:type="dxa" w:w="2006"/>
            <w:vAlign w:val="center"/>
            <w:shd w:fill="EAF5F8"/>
          </w:tcPr>
          <w:p>
            <w:pPr>
              <w:spacing w:after="0"/>
            </w:pPr>
            <w:r>
              <w:rPr>
                <w:sz w:val="15"/>
              </w:rPr>
              <w:t>Buildings and residential zones (including public buildings where mapped)</w:t>
            </w:r>
          </w:p>
        </w:tc>
        <w:tc>
          <w:tcPr>
            <w:tcW w:type="dxa" w:w="2006"/>
            <w:vAlign w:val="center"/>
            <w:shd w:fill="EAF5F8"/>
          </w:tcPr>
          <w:p>
            <w:pPr>
              <w:spacing w:after="0"/>
            </w:pPr>
            <w:r>
              <w:rPr>
                <w:sz w:val="15"/>
              </w:rPr>
              <w:t>Footprint + 700 m exclusion (Step 1)</w:t>
            </w:r>
          </w:p>
        </w:tc>
        <w:tc>
          <w:tcPr>
            <w:tcW w:type="dxa" w:w="2006"/>
            <w:vAlign w:val="center"/>
            <w:shd w:fill="EAF5F8"/>
            <w:shd w:fill="FAED99"/>
          </w:tcPr>
          <w:p>
            <w:pPr>
              <w:spacing w:after="0"/>
            </w:pPr>
            <w:r>
              <w:rPr>
                <w:sz w:val="15"/>
              </w:rPr>
              <w:t>0–1500 m [0]; &gt;1500–3000 m [50]; &gt;3000 m [100]</w:t>
            </w:r>
          </w:p>
        </w:tc>
        <w:tc>
          <w:tcPr>
            <w:tcW w:type="dxa" w:w="2006"/>
            <w:vAlign w:val="center"/>
            <w:vMerge/>
            <w:shd w:fill="EAF5F8"/>
          </w:tcPr>
          <w:p/>
        </w:tc>
      </w:tr>
      <w:tr>
        <w:tc>
          <w:tcPr>
            <w:tcW w:type="dxa" w:w="2006"/>
            <w:vAlign w:val="center"/>
            <w:vMerge/>
            <w:shd w:fill="EAF5F8"/>
          </w:tcPr>
          <w:p/>
        </w:tc>
        <w:tc>
          <w:tcPr>
            <w:tcW w:type="dxa" w:w="2006"/>
            <w:vAlign w:val="center"/>
            <w:shd w:fill="EAF5F8"/>
          </w:tcPr>
          <w:p>
            <w:pPr>
              <w:spacing w:after="0"/>
            </w:pPr>
            <w:r>
              <w:rPr>
                <w:sz w:val="15"/>
              </w:rPr>
              <w:t>Cultural heritage</w:t>
            </w:r>
          </w:p>
        </w:tc>
        <w:tc>
          <w:tcPr>
            <w:tcW w:type="dxa" w:w="2006"/>
            <w:vAlign w:val="center"/>
            <w:shd w:fill="EAF5F8"/>
          </w:tcPr>
          <w:p>
            <w:pPr>
              <w:spacing w:after="0"/>
            </w:pPr>
            <w:r>
              <w:rPr>
                <w:sz w:val="15"/>
              </w:rPr>
              <w:t>100 m within settlements; 300 m outside settlements</w:t>
            </w:r>
          </w:p>
        </w:tc>
        <w:tc>
          <w:tcPr>
            <w:tcW w:type="dxa" w:w="2006"/>
            <w:vAlign w:val="center"/>
            <w:shd w:fill="EAF5F8"/>
          </w:tcPr>
          <w:p>
            <w:pPr>
              <w:spacing w:after="0"/>
            </w:pPr>
            <w:r>
              <w:rPr>
                <w:sz w:val="15"/>
              </w:rPr>
              <w:t>300–1500 m [0]; 1500–3000 m [50]</w:t>
            </w:r>
          </w:p>
        </w:tc>
        <w:tc>
          <w:tcPr>
            <w:tcW w:type="dxa" w:w="2006"/>
            <w:vAlign w:val="center"/>
            <w:vMerge/>
            <w:shd w:fill="EAF5F8"/>
          </w:tcPr>
          <w:p/>
        </w:tc>
      </w:tr>
      <w:tr>
        <w:tc>
          <w:tcPr>
            <w:tcW w:type="dxa" w:w="2006"/>
            <w:vAlign w:val="center"/>
            <w:shd w:fill="EEF3FB"/>
            <w:vMerge w:val="restart"/>
            <w:tcBorders>
              <w:top w:val="single" w:sz="16" w:color="7A9BC6"/>
            </w:tcBorders>
          </w:tcPr>
          <w:p>
            <w:r>
              <w:t>Infrastructure</w:t>
            </w:r>
          </w:p>
        </w:tc>
        <w:tc>
          <w:tcPr>
            <w:tcW w:type="dxa" w:w="2006"/>
            <w:vAlign w:val="center"/>
            <w:shd w:fill="EEF3FB"/>
            <w:tcBorders>
              <w:top w:val="single" w:sz="16" w:color="7A9BC6"/>
            </w:tcBorders>
          </w:tcPr>
          <w:p>
            <w:pPr>
              <w:spacing w:after="0"/>
            </w:pPr>
            <w:r>
              <w:rPr>
                <w:sz w:val="15"/>
              </w:rPr>
              <w:t>Energy infrastructure – transmission lines</w:t>
            </w:r>
          </w:p>
        </w:tc>
        <w:tc>
          <w:tcPr>
            <w:tcW w:type="dxa" w:w="2006"/>
            <w:vAlign w:val="center"/>
            <w:shd w:fill="EEF3FB"/>
            <w:tcBorders>
              <w:top w:val="single" w:sz="16" w:color="7A9BC6"/>
            </w:tcBorders>
          </w:tcPr>
          <w:p>
            <w:pPr>
              <w:spacing w:after="0"/>
            </w:pPr>
            <w:r>
              <w:rPr>
                <w:sz w:val="15"/>
              </w:rPr>
              <w:t>375 m</w:t>
            </w:r>
          </w:p>
        </w:tc>
        <w:tc>
          <w:tcPr>
            <w:tcW w:type="dxa" w:w="2006"/>
            <w:vAlign w:val="center"/>
            <w:shd w:fill="EEF3FB"/>
            <w:shd w:fill="D5ED91"/>
            <w:tcBorders>
              <w:top w:val="single" w:sz="16" w:color="7A9BC6"/>
            </w:tcBorders>
          </w:tcPr>
          <w:p>
            <w:pPr>
              <w:spacing w:after="0"/>
            </w:pPr>
            <w:r>
              <w:rPr>
                <w:sz w:val="15"/>
              </w:rPr>
              <w:t>375–5000 m [100]; 5000–10,000 m [70]; 10,000–15,000 m [40]</w:t>
            </w:r>
          </w:p>
        </w:tc>
        <w:tc>
          <w:tcPr>
            <w:tcW w:type="dxa" w:w="2006"/>
            <w:vAlign w:val="center"/>
            <w:shd w:fill="EEF3FB"/>
            <w:vMerge w:val="restart"/>
            <w:tcBorders>
              <w:top w:val="single" w:sz="16" w:color="7A9BC6"/>
            </w:tcBorders>
          </w:tcPr>
          <w:p>
            <w:pPr>
              <w:jc w:val="center"/>
            </w:pPr>
            <w:r>
              <w:rPr>
                <w:b/>
                <w:color w:val="174E68"/>
                <w:sz w:val="22"/>
              </w:rPr>
              <w:t>30%</w:t>
            </w:r>
          </w:p>
        </w:tc>
      </w:tr>
      <w:tr>
        <w:tc>
          <w:tcPr>
            <w:tcW w:type="dxa" w:w="2006"/>
            <w:vAlign w:val="center"/>
            <w:vMerge/>
            <w:shd w:fill="EEF3FB"/>
          </w:tcPr>
          <w:p/>
        </w:tc>
        <w:tc>
          <w:tcPr>
            <w:tcW w:type="dxa" w:w="2006"/>
            <w:vAlign w:val="center"/>
            <w:shd w:fill="EEF3FB"/>
          </w:tcPr>
          <w:p>
            <w:pPr>
              <w:spacing w:after="0"/>
            </w:pPr>
            <w:r>
              <w:rPr>
                <w:sz w:val="15"/>
              </w:rPr>
              <w:t>Distance to roads</w:t>
            </w:r>
          </w:p>
        </w:tc>
        <w:tc>
          <w:tcPr>
            <w:tcW w:type="dxa" w:w="2006"/>
            <w:vAlign w:val="center"/>
            <w:shd w:fill="EEF3FB"/>
          </w:tcPr>
          <w:p>
            <w:pPr>
              <w:spacing w:after="0"/>
            </w:pPr>
            <w:r>
              <w:rPr>
                <w:sz w:val="15"/>
              </w:rPr>
              <w:t>375 m</w:t>
            </w:r>
          </w:p>
        </w:tc>
        <w:tc>
          <w:tcPr>
            <w:tcW w:type="dxa" w:w="2006"/>
            <w:vAlign w:val="center"/>
            <w:shd w:fill="EEF3FB"/>
          </w:tcPr>
          <w:p>
            <w:pPr>
              <w:spacing w:after="0"/>
            </w:pPr>
            <w:r>
              <w:rPr>
                <w:sz w:val="15"/>
              </w:rPr>
              <w:t>&lt;5000 m [100]; 5000–10,000 m [66]; 10,000–15,000 m [33]</w:t>
            </w:r>
          </w:p>
        </w:tc>
        <w:tc>
          <w:tcPr>
            <w:tcW w:type="dxa" w:w="2006"/>
            <w:vAlign w:val="center"/>
            <w:vMerge/>
            <w:shd w:fill="EEF3FB"/>
          </w:tcPr>
          <w:p/>
        </w:tc>
      </w:tr>
      <w:tr>
        <w:tc>
          <w:tcPr>
            <w:tcW w:type="dxa" w:w="2006"/>
            <w:vAlign w:val="center"/>
            <w:vMerge/>
            <w:shd w:fill="EEF3FB"/>
          </w:tcPr>
          <w:p/>
        </w:tc>
        <w:tc>
          <w:tcPr>
            <w:tcW w:type="dxa" w:w="2006"/>
            <w:vAlign w:val="center"/>
            <w:shd w:fill="EEF3FB"/>
          </w:tcPr>
          <w:p>
            <w:pPr>
              <w:spacing w:after="0"/>
            </w:pPr>
            <w:r>
              <w:rPr>
                <w:sz w:val="15"/>
              </w:rPr>
              <w:t>Substations</w:t>
            </w:r>
          </w:p>
        </w:tc>
        <w:tc>
          <w:tcPr>
            <w:tcW w:type="dxa" w:w="2006"/>
            <w:vAlign w:val="center"/>
            <w:shd w:fill="EEF3FB"/>
          </w:tcPr>
          <w:p>
            <w:pPr>
              <w:spacing w:after="0"/>
            </w:pPr>
            <w:r>
              <w:rPr>
                <w:sz w:val="15"/>
              </w:rPr>
              <w:t>375 m</w:t>
            </w:r>
          </w:p>
        </w:tc>
        <w:tc>
          <w:tcPr>
            <w:tcW w:type="dxa" w:w="2006"/>
            <w:vAlign w:val="center"/>
            <w:shd w:fill="EEF3FB"/>
            <w:shd w:fill="FAED99"/>
          </w:tcPr>
          <w:p>
            <w:pPr>
              <w:spacing w:after="0"/>
            </w:pPr>
            <w:r>
              <w:rPr>
                <w:sz w:val="15"/>
              </w:rPr>
              <w:t>375–2000 m [100]; 2000–5000 m [80]; 5000–10,000 m [50]; 10,000–20,000 m [20]</w:t>
            </w:r>
          </w:p>
        </w:tc>
        <w:tc>
          <w:tcPr>
            <w:tcW w:type="dxa" w:w="2006"/>
            <w:vAlign w:val="center"/>
            <w:vMerge/>
            <w:shd w:fill="EEF3FB"/>
          </w:tcPr>
          <w:p/>
        </w:tc>
      </w:tr>
      <w:tr>
        <w:tc>
          <w:tcPr>
            <w:tcW w:type="dxa" w:w="2006"/>
            <w:vAlign w:val="center"/>
            <w:shd w:fill="EEF8EF"/>
            <w:vMerge w:val="restart"/>
            <w:tcBorders>
              <w:top w:val="single" w:sz="16" w:color="81B58D"/>
            </w:tcBorders>
          </w:tcPr>
          <w:p>
            <w:r>
              <w:t>Nature</w:t>
            </w:r>
          </w:p>
        </w:tc>
        <w:tc>
          <w:tcPr>
            <w:tcW w:type="dxa" w:w="2006"/>
            <w:vAlign w:val="center"/>
            <w:shd w:fill="EEF8EF"/>
            <w:tcBorders>
              <w:top w:val="single" w:sz="16" w:color="81B58D"/>
            </w:tcBorders>
          </w:tcPr>
          <w:p>
            <w:pPr>
              <w:spacing w:after="0"/>
            </w:pPr>
            <w:r>
              <w:rPr>
                <w:sz w:val="15"/>
              </w:rPr>
              <w:t>Natural reserves, nationally protected areas (WDPA)</w:t>
            </w:r>
          </w:p>
        </w:tc>
        <w:tc>
          <w:tcPr>
            <w:tcW w:type="dxa" w:w="2006"/>
            <w:vAlign w:val="center"/>
            <w:shd w:fill="EEF8EF"/>
            <w:tcBorders>
              <w:top w:val="single" w:sz="16" w:color="81B58D"/>
            </w:tcBorders>
          </w:tcPr>
          <w:p>
            <w:pPr>
              <w:spacing w:after="0"/>
            </w:pPr>
            <w:r>
              <w:rPr>
                <w:sz w:val="15"/>
              </w:rPr>
              <w:t>Footprints + 1000 m</w:t>
            </w:r>
          </w:p>
        </w:tc>
        <w:tc>
          <w:tcPr>
            <w:tcW w:type="dxa" w:w="2006"/>
            <w:vAlign w:val="center"/>
            <w:shd w:fill="EEF8EF"/>
            <w:tcBorders>
              <w:top w:val="single" w:sz="16" w:color="81B58D"/>
            </w:tcBorders>
          </w:tcPr>
          <w:p>
            <w:pPr>
              <w:spacing w:after="0"/>
            </w:pPr>
            <w:r>
              <w:rPr>
                <w:sz w:val="15"/>
              </w:rPr>
              <w:t>1000–2000 m [50]</w:t>
            </w:r>
          </w:p>
        </w:tc>
        <w:tc>
          <w:tcPr>
            <w:tcW w:type="dxa" w:w="2006"/>
            <w:vAlign w:val="center"/>
            <w:shd w:fill="EEF8EF"/>
            <w:vMerge w:val="restart"/>
            <w:tcBorders>
              <w:top w:val="single" w:sz="16" w:color="81B58D"/>
            </w:tcBorders>
          </w:tcPr>
          <w:p>
            <w:pPr>
              <w:jc w:val="center"/>
            </w:pPr>
            <w:r>
              <w:rPr>
                <w:b/>
                <w:color w:val="174E68"/>
                <w:sz w:val="22"/>
              </w:rPr>
              <w:t>25%</w:t>
            </w:r>
          </w:p>
        </w:tc>
      </w:tr>
      <w:tr>
        <w:tc>
          <w:tcPr>
            <w:tcW w:type="dxa" w:w="2006"/>
            <w:vAlign w:val="center"/>
            <w:vMerge/>
            <w:shd w:fill="EEF8EF"/>
          </w:tcPr>
          <w:p/>
        </w:tc>
        <w:tc>
          <w:tcPr>
            <w:tcW w:type="dxa" w:w="2006"/>
            <w:vAlign w:val="center"/>
            <w:shd w:fill="EEF8EF"/>
          </w:tcPr>
          <w:p>
            <w:pPr>
              <w:spacing w:after="0"/>
            </w:pPr>
            <w:r>
              <w:rPr>
                <w:sz w:val="15"/>
              </w:rPr>
              <w:t>Key Biodiversity Areas (KBA), including IBA</w:t>
            </w:r>
          </w:p>
        </w:tc>
        <w:tc>
          <w:tcPr>
            <w:tcW w:type="dxa" w:w="2006"/>
            <w:vAlign w:val="center"/>
            <w:shd w:fill="EEF8EF"/>
          </w:tcPr>
          <w:p>
            <w:pPr>
              <w:spacing w:after="0"/>
            </w:pPr>
            <w:r>
              <w:rPr>
                <w:sz w:val="15"/>
              </w:rPr>
              <w:t>Footprints + 1000 m</w:t>
            </w:r>
          </w:p>
        </w:tc>
        <w:tc>
          <w:tcPr>
            <w:tcW w:type="dxa" w:w="2006"/>
            <w:vAlign w:val="center"/>
            <w:shd w:fill="EEF8EF"/>
            <w:shd w:fill="F7D293"/>
          </w:tcPr>
          <w:p>
            <w:pPr>
              <w:spacing w:after="0"/>
            </w:pPr>
            <w:r>
              <w:rPr>
                <w:sz w:val="15"/>
              </w:rPr>
              <w:t>1000–5000 m [0]; 5000–10,000 m [50]</w:t>
            </w:r>
          </w:p>
        </w:tc>
        <w:tc>
          <w:tcPr>
            <w:tcW w:type="dxa" w:w="2006"/>
            <w:vAlign w:val="center"/>
            <w:vMerge/>
            <w:shd w:fill="EEF8EF"/>
          </w:tcPr>
          <w:p/>
        </w:tc>
      </w:tr>
      <w:tr>
        <w:tc>
          <w:tcPr>
            <w:tcW w:type="dxa" w:w="2006"/>
            <w:vAlign w:val="center"/>
            <w:shd w:fill="FFF2EC"/>
            <w:tcBorders>
              <w:top w:val="single" w:sz="16" w:color="D9997D"/>
            </w:tcBorders>
          </w:tcPr>
          <w:p>
            <w:pPr>
              <w:spacing w:after="0"/>
            </w:pPr>
            <w:r>
              <w:rPr>
                <w:sz w:val="15"/>
              </w:rPr>
              <w:t>Wind</w:t>
            </w:r>
          </w:p>
        </w:tc>
        <w:tc>
          <w:tcPr>
            <w:tcW w:type="dxa" w:w="2006"/>
            <w:vAlign w:val="center"/>
            <w:shd w:fill="FFF2EC"/>
            <w:tcBorders>
              <w:top w:val="single" w:sz="16" w:color="D9997D"/>
            </w:tcBorders>
          </w:tcPr>
          <w:p>
            <w:pPr>
              <w:spacing w:after="0"/>
            </w:pPr>
            <w:r>
              <w:rPr>
                <w:sz w:val="15"/>
              </w:rPr>
              <w:t>Wind speed</w:t>
            </w:r>
          </w:p>
        </w:tc>
        <w:tc>
          <w:tcPr>
            <w:tcW w:type="dxa" w:w="2006"/>
            <w:vAlign w:val="center"/>
            <w:shd w:fill="FFF2EC"/>
            <w:tcBorders>
              <w:top w:val="single" w:sz="16" w:color="D9997D"/>
            </w:tcBorders>
          </w:tcPr>
          <w:p>
            <w:pPr>
              <w:spacing w:after="0"/>
            </w:pPr>
            <w:r>
              <w:rPr>
                <w:sz w:val="15"/>
              </w:rPr>
              <w:t>&lt;3200 FLH</w:t>
            </w:r>
          </w:p>
        </w:tc>
        <w:tc>
          <w:tcPr>
            <w:tcW w:type="dxa" w:w="2006"/>
            <w:vAlign w:val="center"/>
            <w:shd w:fill="FFF2EC"/>
            <w:tcBorders>
              <w:top w:val="single" w:sz="16" w:color="D9997D"/>
            </w:tcBorders>
          </w:tcPr>
          <w:p>
            <w:pPr>
              <w:spacing w:after="0"/>
            </w:pPr>
            <w:r>
              <w:rPr>
                <w:sz w:val="15"/>
              </w:rPr>
              <w:t>&lt;7 m/s [0]; 7–8 m/s [50]; &gt;8 m/s [100]</w:t>
            </w:r>
          </w:p>
        </w:tc>
        <w:tc>
          <w:tcPr>
            <w:tcW w:type="dxa" w:w="2006"/>
            <w:vAlign w:val="center"/>
            <w:shd w:fill="FFF2EC"/>
            <w:tcBorders>
              <w:top w:val="single" w:sz="16" w:color="D9997D"/>
            </w:tcBorders>
          </w:tcPr>
          <w:p>
            <w:pPr>
              <w:jc w:val="center"/>
            </w:pPr>
            <w:r>
              <w:rPr>
                <w:b/>
                <w:color w:val="174E68"/>
                <w:sz w:val="22"/>
              </w:rPr>
              <w:t>20%</w:t>
            </w:r>
          </w:p>
        </w:tc>
      </w:tr>
      <w:tr>
        <w:tc>
          <w:tcPr>
            <w:tcW w:type="dxa" w:w="2006"/>
            <w:vAlign w:val="center"/>
            <w:shd w:fill="FFF8E9"/>
            <w:tcBorders>
              <w:top w:val="single" w:sz="16" w:color="D7B366"/>
            </w:tcBorders>
          </w:tcPr>
          <w:p>
            <w:pPr>
              <w:spacing w:after="0"/>
            </w:pPr>
            <w:r>
              <w:rPr>
                <w:sz w:val="15"/>
              </w:rPr>
              <w:t>Planning constraints and land use</w:t>
            </w:r>
          </w:p>
        </w:tc>
        <w:tc>
          <w:tcPr>
            <w:tcW w:type="dxa" w:w="2006"/>
            <w:vAlign w:val="center"/>
            <w:shd w:fill="FFF8E9"/>
            <w:tcBorders>
              <w:top w:val="single" w:sz="16" w:color="D7B366"/>
            </w:tcBorders>
          </w:tcPr>
          <w:p>
            <w:pPr>
              <w:spacing w:after="0"/>
            </w:pPr>
            <w:r>
              <w:rPr>
                <w:sz w:val="15"/>
              </w:rPr>
              <w:t>Valuable agricultural land (valuable soils)</w:t>
            </w:r>
          </w:p>
        </w:tc>
        <w:tc>
          <w:tcPr>
            <w:tcW w:type="dxa" w:w="2006"/>
            <w:vAlign w:val="center"/>
            <w:shd w:fill="FFF8E9"/>
            <w:tcBorders>
              <w:top w:val="single" w:sz="16" w:color="D7B366"/>
            </w:tcBorders>
          </w:tcPr>
          <w:p>
            <w:pPr>
              <w:spacing w:after="0"/>
            </w:pPr>
            <w:r>
              <w:rPr>
                <w:sz w:val="15"/>
              </w:rPr>
            </w:r>
          </w:p>
        </w:tc>
        <w:tc>
          <w:tcPr>
            <w:tcW w:type="dxa" w:w="2006"/>
            <w:vAlign w:val="center"/>
            <w:shd w:fill="FFF8E9"/>
            <w:tcBorders>
              <w:top w:val="single" w:sz="16" w:color="D7B366"/>
            </w:tcBorders>
          </w:tcPr>
          <w:p>
            <w:pPr>
              <w:spacing w:after="0"/>
            </w:pPr>
            <w:r>
              <w:rPr>
                <w:sz w:val="15"/>
              </w:rPr>
            </w:r>
          </w:p>
        </w:tc>
        <w:tc>
          <w:tcPr>
            <w:tcW w:type="dxa" w:w="2006"/>
            <w:vAlign w:val="center"/>
            <w:shd w:fill="FFF8E9"/>
            <w:tcBorders>
              <w:top w:val="single" w:sz="16" w:color="D7B366"/>
            </w:tcBorders>
          </w:tcPr>
          <w:p>
            <w:pPr>
              <w:jc w:val="center"/>
            </w:pPr>
            <w:r>
              <w:rPr>
                <w:b/>
                <w:color w:val="174E68"/>
                <w:sz w:val="22"/>
              </w:rPr>
              <w:t>5%</w:t>
            </w:r>
          </w:p>
        </w:tc>
      </w:tr>
    </w:tbl>
    <w:p/>
    <w:p>
      <w:pPr>
        <w:pStyle w:val="Heading1"/>
      </w:pPr>
      <w:r>
        <w:t>Data and limitations</w:t>
      </w:r>
    </w:p>
    <w:p>
      <w:r>
        <w:t>The geospatial datasets used for this assessment were based on publicly available information obtained from major open-access databases and data platforms. These datasets provide a useful basis for preliminary spatial screening and identification of potential environmental constraints.</w:t>
      </w:r>
    </w:p>
    <w:p>
      <w:r>
        <w:t>However, the availability and completeness of data remain limited, and additional data sources should be incorporated in future assessments to improve the accuracy and reliability of the analysis.</w:t>
      </w:r>
    </w:p>
    <w:p>
      <w:r>
        <w:t>The analysis uses a 25 × 25 m spatial assessment cell (625 m²). This resolution supports national screening but limits the precision of local boundaries; it should not be interpreted as a turbine-placement, cadastral or field-survey boundary.</w:t>
      </w:r>
    </w:p>
    <w:p>
      <w:r>
        <w:t>References: https://rezoma.mev.gov.ua/ · https://www.ive.org.ua/language/uk/interaktivna-mapa/ · https://www.energy-community.org/secretariat/budget/RAA/</w:t>
      </w:r>
    </w:p>
    <w:sectPr w:rsidR="00FC693F" w:rsidRPr="0006063C" w:rsidSect="00034616">
      <w:footerReference w:type="default" r:id="rId9"/>
      <w:pgSz w:w="12240" w:h="15840"/>
      <w:pgMar w:top="992" w:right="1106" w:bottom="964" w:left="11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Candidate territories · Ukraine onshore wind / Кандидатні території · Вітроенергетика України</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33B4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53C53"/>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153C5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153C5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openstreetmap.org/" TargetMode="External"/><Relationship Id="rId12" Type="http://schemas.openxmlformats.org/officeDocument/2006/relationships/hyperlink" Target="https://mcsc.gov.ua/" TargetMode="External"/><Relationship Id="rId13" Type="http://schemas.openxmlformats.org/officeDocument/2006/relationships/hyperlink" Target="https://whc.unesco.org/en/list/" TargetMode="External"/><Relationship Id="rId14" Type="http://schemas.openxmlformats.org/officeDocument/2006/relationships/hyperlink" Target="https://dataspace.copernicus.eu/explore-data/data-collections/copernicus-contributing-missions/collections-description/COP-DEM" TargetMode="External"/><Relationship Id="rId15" Type="http://schemas.openxmlformats.org/officeDocument/2006/relationships/hyperlink" Target="https://geoportal.davr.gov.ua/" TargetMode="External"/><Relationship Id="rId16" Type="http://schemas.openxmlformats.org/officeDocument/2006/relationships/hyperlink" Target="https://pae.com.ua/" TargetMode="External"/><Relationship Id="rId17" Type="http://schemas.openxmlformats.org/officeDocument/2006/relationships/hyperlink" Target="https://ourairports.com/" TargetMode="External"/><Relationship Id="rId18" Type="http://schemas.openxmlformats.org/officeDocument/2006/relationships/hyperlink" Target="https://www.protectedplanet.net/en/thematic-areas/wdpa" TargetMode="External"/><Relationship Id="rId19" Type="http://schemas.openxmlformats.org/officeDocument/2006/relationships/hyperlink" Target="https://globalwindatlas.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